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57" w:rsidRPr="00F5007A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5007A">
        <w:rPr>
          <w:rFonts w:ascii="Times New Roman" w:hAnsi="Times New Roman" w:cs="Times New Roman"/>
          <w:sz w:val="22"/>
          <w:szCs w:val="22"/>
        </w:rPr>
        <w:t>РЕПУБЛИКА СРБИЈА</w:t>
      </w:r>
    </w:p>
    <w:p w:rsidR="00E65557" w:rsidRPr="00F5007A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>ОПШТИНСКА УПРАВА ВЛАДИЧИН ХАН</w:t>
      </w:r>
    </w:p>
    <w:p w:rsidR="00E65557" w:rsidRPr="00F5007A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  <w:lang w:val="sr-Cyrl-CS"/>
        </w:rPr>
      </w:pPr>
      <w:r w:rsidRPr="00F5007A">
        <w:rPr>
          <w:rFonts w:ascii="Times New Roman" w:hAnsi="Times New Roman" w:cs="Times New Roman"/>
          <w:sz w:val="22"/>
          <w:szCs w:val="22"/>
        </w:rPr>
        <w:t xml:space="preserve">ОДЕЉЕЊЕ ЗА ФИНАНСИЈЕ И </w:t>
      </w:r>
      <w:r>
        <w:rPr>
          <w:rFonts w:ascii="Times New Roman" w:hAnsi="Times New Roman" w:cs="Times New Roman"/>
          <w:sz w:val="22"/>
          <w:szCs w:val="22"/>
          <w:lang w:val="sr-Cyrl-CS"/>
        </w:rPr>
        <w:t>ПРИВРЕДУ</w:t>
      </w:r>
    </w:p>
    <w:p w:rsidR="00E65557" w:rsidRPr="00F5007A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5007A">
        <w:rPr>
          <w:rFonts w:ascii="Times New Roman" w:hAnsi="Times New Roman" w:cs="Times New Roman"/>
          <w:sz w:val="22"/>
          <w:szCs w:val="22"/>
        </w:rPr>
        <w:t xml:space="preserve">Број: </w:t>
      </w:r>
      <w:r>
        <w:rPr>
          <w:rFonts w:ascii="Times New Roman" w:hAnsi="Times New Roman" w:cs="Times New Roman"/>
          <w:sz w:val="22"/>
          <w:szCs w:val="22"/>
        </w:rPr>
        <w:t>4</w:t>
      </w:r>
      <w:r w:rsidR="006034DE">
        <w:rPr>
          <w:rFonts w:ascii="Times New Roman" w:hAnsi="Times New Roman" w:cs="Times New Roman"/>
          <w:sz w:val="22"/>
          <w:szCs w:val="22"/>
        </w:rPr>
        <w:t>01-646</w:t>
      </w:r>
      <w:r w:rsidRPr="00F5007A">
        <w:rPr>
          <w:rFonts w:ascii="Times New Roman" w:hAnsi="Times New Roman" w:cs="Times New Roman"/>
          <w:sz w:val="22"/>
          <w:szCs w:val="22"/>
        </w:rPr>
        <w:t>/201</w:t>
      </w:r>
      <w:r>
        <w:rPr>
          <w:rFonts w:ascii="Times New Roman" w:hAnsi="Times New Roman" w:cs="Times New Roman"/>
          <w:sz w:val="22"/>
          <w:szCs w:val="22"/>
        </w:rPr>
        <w:t>5</w:t>
      </w:r>
      <w:r w:rsidR="006034DE">
        <w:rPr>
          <w:rFonts w:ascii="Times New Roman" w:hAnsi="Times New Roman" w:cs="Times New Roman"/>
          <w:sz w:val="22"/>
          <w:szCs w:val="22"/>
        </w:rPr>
        <w:t>-03</w:t>
      </w:r>
    </w:p>
    <w:p w:rsidR="00E65557" w:rsidRPr="00F5007A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5007A">
        <w:rPr>
          <w:rFonts w:ascii="Times New Roman" w:hAnsi="Times New Roman" w:cs="Times New Roman"/>
          <w:sz w:val="22"/>
          <w:szCs w:val="22"/>
        </w:rPr>
        <w:t xml:space="preserve">Датум: </w:t>
      </w:r>
      <w:r w:rsidR="007D35FE">
        <w:rPr>
          <w:rFonts w:ascii="Times New Roman" w:hAnsi="Times New Roman" w:cs="Times New Roman"/>
          <w:sz w:val="22"/>
          <w:szCs w:val="22"/>
        </w:rPr>
        <w:t>24</w:t>
      </w:r>
      <w:r w:rsidRPr="00F5007A">
        <w:rPr>
          <w:rFonts w:ascii="Times New Roman" w:hAnsi="Times New Roman" w:cs="Times New Roman"/>
          <w:sz w:val="22"/>
          <w:szCs w:val="22"/>
        </w:rPr>
        <w:t>.</w:t>
      </w:r>
      <w:r w:rsidR="007D35FE">
        <w:rPr>
          <w:rFonts w:ascii="Times New Roman" w:hAnsi="Times New Roman" w:cs="Times New Roman"/>
          <w:sz w:val="22"/>
          <w:szCs w:val="22"/>
        </w:rPr>
        <w:t>08</w:t>
      </w:r>
      <w:r w:rsidRPr="00F5007A">
        <w:rPr>
          <w:rFonts w:ascii="Times New Roman" w:hAnsi="Times New Roman" w:cs="Times New Roman"/>
          <w:sz w:val="22"/>
          <w:szCs w:val="22"/>
        </w:rPr>
        <w:t>.201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F5007A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F5007A">
        <w:rPr>
          <w:rFonts w:ascii="Times New Roman" w:hAnsi="Times New Roman" w:cs="Times New Roman"/>
          <w:sz w:val="22"/>
          <w:szCs w:val="22"/>
        </w:rPr>
        <w:t>године</w:t>
      </w:r>
      <w:proofErr w:type="gramEnd"/>
    </w:p>
    <w:p w:rsidR="00E65557" w:rsidRPr="00F5007A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>В Л А Д И Ч И Н   Х А Н</w:t>
      </w:r>
    </w:p>
    <w:p w:rsidR="00E65557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E65557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  <w:lang w:val="sr-Cyrl-CS"/>
        </w:rPr>
      </w:pPr>
    </w:p>
    <w:p w:rsidR="00E65557" w:rsidRPr="000D00D9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  <w:lang w:val="sr-Cyrl-CS"/>
        </w:rPr>
      </w:pPr>
    </w:p>
    <w:p w:rsidR="00E65557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E65557" w:rsidRPr="00676970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31768">
        <w:rPr>
          <w:rFonts w:ascii="Times New Roman" w:hAnsi="Times New Roman" w:cs="Times New Roman"/>
          <w:sz w:val="22"/>
          <w:szCs w:val="22"/>
        </w:rPr>
        <w:t>На основу члана 31.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31768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 xml:space="preserve"> члана 40. </w:t>
      </w:r>
      <w:proofErr w:type="gramStart"/>
      <w:r w:rsidRPr="00531768">
        <w:rPr>
          <w:rFonts w:ascii="Times New Roman" w:hAnsi="Times New Roman" w:cs="Times New Roman"/>
          <w:sz w:val="22"/>
          <w:szCs w:val="22"/>
        </w:rPr>
        <w:t xml:space="preserve">Закона о буџетском систему </w:t>
      </w:r>
      <w:r w:rsidRPr="00531768">
        <w:rPr>
          <w:rFonts w:ascii="Times New Roman" w:hAnsi="Times New Roman" w:cs="Times New Roman"/>
          <w:sz w:val="24"/>
          <w:szCs w:val="24"/>
        </w:rPr>
        <w:t>(„Службени гласник РС,</w:t>
      </w:r>
      <w:r w:rsidRPr="005317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31768">
        <w:rPr>
          <w:rFonts w:ascii="Times New Roman" w:hAnsi="Times New Roman" w:cs="Times New Roman"/>
          <w:sz w:val="24"/>
          <w:szCs w:val="24"/>
        </w:rPr>
        <w:t>бр.</w:t>
      </w:r>
      <w:proofErr w:type="gramEnd"/>
      <w:r w:rsidRPr="00531768">
        <w:rPr>
          <w:rFonts w:ascii="Times New Roman" w:hAnsi="Times New Roman" w:cs="Times New Roman"/>
          <w:sz w:val="24"/>
          <w:szCs w:val="24"/>
        </w:rPr>
        <w:t xml:space="preserve"> 54/09, 73/10, 101/10, 101/11, 93/12, 62/13, 63/13-исправка</w:t>
      </w:r>
      <w:r w:rsidR="005E7B40" w:rsidRPr="00531768">
        <w:rPr>
          <w:rFonts w:ascii="Times New Roman" w:hAnsi="Times New Roman" w:cs="Times New Roman"/>
          <w:sz w:val="24"/>
          <w:szCs w:val="24"/>
        </w:rPr>
        <w:t>,</w:t>
      </w:r>
      <w:r w:rsidRPr="00531768">
        <w:rPr>
          <w:rFonts w:ascii="Times New Roman" w:hAnsi="Times New Roman" w:cs="Times New Roman"/>
          <w:sz w:val="24"/>
          <w:szCs w:val="24"/>
        </w:rPr>
        <w:t xml:space="preserve"> 108/</w:t>
      </w:r>
      <w:proofErr w:type="gramStart"/>
      <w:r w:rsidRPr="00531768">
        <w:rPr>
          <w:rFonts w:ascii="Times New Roman" w:hAnsi="Times New Roman" w:cs="Times New Roman"/>
          <w:sz w:val="24"/>
          <w:szCs w:val="24"/>
        </w:rPr>
        <w:t>13</w:t>
      </w:r>
      <w:r w:rsidR="005E7B40" w:rsidRPr="00531768">
        <w:rPr>
          <w:rFonts w:ascii="Times New Roman" w:hAnsi="Times New Roman" w:cs="Times New Roman"/>
          <w:sz w:val="24"/>
          <w:szCs w:val="24"/>
        </w:rPr>
        <w:t xml:space="preserve"> </w:t>
      </w:r>
      <w:r w:rsidR="005E7B40" w:rsidRPr="00531768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proofErr w:type="gramEnd"/>
      <w:r w:rsidR="005E7B40" w:rsidRPr="00531768">
        <w:rPr>
          <w:rFonts w:ascii="Times New Roman" w:hAnsi="Times New Roman" w:cs="Times New Roman"/>
          <w:sz w:val="24"/>
          <w:szCs w:val="24"/>
          <w:lang w:val="sr-Cyrl-CS"/>
        </w:rPr>
        <w:t xml:space="preserve"> 142/2014</w:t>
      </w:r>
      <w:r w:rsidRPr="00531768">
        <w:rPr>
          <w:rFonts w:ascii="Times New Roman" w:hAnsi="Times New Roman" w:cs="Times New Roman"/>
          <w:sz w:val="22"/>
          <w:szCs w:val="22"/>
        </w:rPr>
        <w:t>), и Фискалне</w:t>
      </w:r>
      <w:r w:rsidRPr="00531768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sz w:val="22"/>
          <w:szCs w:val="22"/>
        </w:rPr>
        <w:t xml:space="preserve">стратегије за 2014. </w:t>
      </w:r>
      <w:proofErr w:type="gramStart"/>
      <w:r w:rsidRPr="00531768">
        <w:rPr>
          <w:rFonts w:ascii="Times New Roman" w:hAnsi="Times New Roman" w:cs="Times New Roman"/>
          <w:sz w:val="22"/>
          <w:szCs w:val="22"/>
        </w:rPr>
        <w:t>годину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 xml:space="preserve"> са пројекцијама за 2015. </w:t>
      </w:r>
      <w:proofErr w:type="gramStart"/>
      <w:r w:rsidRPr="00531768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 xml:space="preserve"> 2016. </w:t>
      </w:r>
      <w:proofErr w:type="gramStart"/>
      <w:r w:rsidRPr="00531768">
        <w:rPr>
          <w:rFonts w:ascii="Times New Roman" w:hAnsi="Times New Roman" w:cs="Times New Roman"/>
          <w:sz w:val="22"/>
          <w:szCs w:val="22"/>
        </w:rPr>
        <w:t>годину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 xml:space="preserve">, </w:t>
      </w:r>
      <w:r w:rsidRPr="00531768">
        <w:rPr>
          <w:rFonts w:ascii="Times New Roman" w:hAnsi="Times New Roman" w:cs="Times New Roman"/>
          <w:sz w:val="22"/>
          <w:szCs w:val="22"/>
          <w:lang w:val="sr-Cyrl-CS"/>
        </w:rPr>
        <w:t xml:space="preserve">као </w:t>
      </w:r>
      <w:r w:rsidR="005E7B40" w:rsidRPr="00531768">
        <w:rPr>
          <w:rFonts w:ascii="Times New Roman" w:hAnsi="Times New Roman" w:cs="Times New Roman"/>
          <w:sz w:val="22"/>
          <w:szCs w:val="22"/>
          <w:lang w:val="sr-Cyrl-CS"/>
        </w:rPr>
        <w:t xml:space="preserve">и </w:t>
      </w:r>
      <w:r w:rsidRPr="00531768">
        <w:rPr>
          <w:rFonts w:ascii="Times New Roman" w:hAnsi="Times New Roman" w:cs="Times New Roman"/>
          <w:sz w:val="22"/>
          <w:szCs w:val="22"/>
          <w:lang w:val="sr-Cyrl-CS"/>
        </w:rPr>
        <w:t xml:space="preserve">Упутства за израду програмског буџета Министарства финансија и листе униформних индикатора СКГО, </w:t>
      </w:r>
      <w:r w:rsidRPr="00531768">
        <w:rPr>
          <w:rFonts w:ascii="Times New Roman" w:hAnsi="Times New Roman" w:cs="Times New Roman"/>
          <w:sz w:val="22"/>
          <w:szCs w:val="22"/>
        </w:rPr>
        <w:t>Одељење за финансије и</w:t>
      </w:r>
      <w:r w:rsidRPr="00531768">
        <w:rPr>
          <w:rFonts w:ascii="Times New Roman" w:hAnsi="Times New Roman" w:cs="Times New Roman"/>
          <w:sz w:val="22"/>
          <w:szCs w:val="22"/>
          <w:lang w:val="sr-Cyrl-CS"/>
        </w:rPr>
        <w:t xml:space="preserve"> привреду </w:t>
      </w:r>
      <w:r w:rsidRPr="00531768">
        <w:rPr>
          <w:rFonts w:ascii="Times New Roman" w:hAnsi="Times New Roman" w:cs="Times New Roman"/>
          <w:sz w:val="22"/>
          <w:szCs w:val="22"/>
        </w:rPr>
        <w:t xml:space="preserve"> </w:t>
      </w:r>
      <w:r w:rsidRPr="00531768">
        <w:rPr>
          <w:rFonts w:ascii="Times New Roman" w:hAnsi="Times New Roman" w:cs="Times New Roman"/>
          <w:sz w:val="22"/>
          <w:szCs w:val="22"/>
          <w:lang w:val="sr-Cyrl-CS"/>
        </w:rPr>
        <w:t>Општин</w:t>
      </w:r>
      <w:r w:rsidRPr="00531768">
        <w:rPr>
          <w:rFonts w:ascii="Times New Roman" w:hAnsi="Times New Roman" w:cs="Times New Roman"/>
          <w:sz w:val="22"/>
          <w:szCs w:val="22"/>
        </w:rPr>
        <w:t xml:space="preserve">ске управе </w:t>
      </w:r>
      <w:r w:rsidRPr="00531768">
        <w:rPr>
          <w:rFonts w:ascii="Times New Roman" w:hAnsi="Times New Roman" w:cs="Times New Roman"/>
          <w:sz w:val="22"/>
          <w:szCs w:val="22"/>
          <w:lang w:val="sr-Cyrl-CS"/>
        </w:rPr>
        <w:t>Општине Владичин Хан</w:t>
      </w:r>
      <w:r w:rsidRPr="00531768">
        <w:rPr>
          <w:rFonts w:ascii="Times New Roman" w:hAnsi="Times New Roman" w:cs="Times New Roman"/>
          <w:sz w:val="22"/>
          <w:szCs w:val="22"/>
        </w:rPr>
        <w:t xml:space="preserve">, дана </w:t>
      </w:r>
      <w:r w:rsidR="005E7B40" w:rsidRPr="00531768">
        <w:rPr>
          <w:rFonts w:ascii="Times New Roman" w:hAnsi="Times New Roman" w:cs="Times New Roman"/>
          <w:sz w:val="22"/>
          <w:szCs w:val="22"/>
          <w:lang w:val="sr-Cyrl-CS"/>
        </w:rPr>
        <w:t>24</w:t>
      </w:r>
      <w:r w:rsidRPr="00531768">
        <w:rPr>
          <w:rFonts w:ascii="Times New Roman" w:hAnsi="Times New Roman" w:cs="Times New Roman"/>
          <w:sz w:val="22"/>
          <w:szCs w:val="22"/>
        </w:rPr>
        <w:t>.</w:t>
      </w:r>
      <w:r w:rsidR="005E7B40" w:rsidRPr="00531768">
        <w:rPr>
          <w:rFonts w:ascii="Times New Roman" w:hAnsi="Times New Roman" w:cs="Times New Roman"/>
          <w:sz w:val="22"/>
          <w:szCs w:val="22"/>
          <w:lang w:val="sr-Cyrl-CS"/>
        </w:rPr>
        <w:t>08</w:t>
      </w:r>
      <w:r w:rsidRPr="00531768">
        <w:rPr>
          <w:rFonts w:ascii="Times New Roman" w:hAnsi="Times New Roman" w:cs="Times New Roman"/>
          <w:sz w:val="22"/>
          <w:szCs w:val="22"/>
        </w:rPr>
        <w:t>.201</w:t>
      </w:r>
      <w:r w:rsidR="005E7B40" w:rsidRPr="00531768">
        <w:rPr>
          <w:rFonts w:ascii="Times New Roman" w:hAnsi="Times New Roman" w:cs="Times New Roman"/>
          <w:sz w:val="22"/>
          <w:szCs w:val="22"/>
          <w:lang w:val="sr-Cyrl-CS"/>
        </w:rPr>
        <w:t>5</w:t>
      </w:r>
      <w:r w:rsidRPr="00531768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531768">
        <w:rPr>
          <w:rFonts w:ascii="Times New Roman" w:hAnsi="Times New Roman" w:cs="Times New Roman"/>
          <w:sz w:val="22"/>
          <w:szCs w:val="22"/>
        </w:rPr>
        <w:t>године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 xml:space="preserve">, доставља </w:t>
      </w:r>
      <w:r w:rsidRPr="00531768">
        <w:rPr>
          <w:rFonts w:ascii="Times New Roman" w:hAnsi="Times New Roman" w:cs="Times New Roman"/>
          <w:sz w:val="22"/>
          <w:szCs w:val="22"/>
          <w:lang w:val="sr-Cyrl-CS"/>
        </w:rPr>
        <w:t>корисницима буџета Општине Владичин Хан</w:t>
      </w:r>
      <w:r w:rsidRPr="00531768">
        <w:rPr>
          <w:rFonts w:ascii="Times New Roman" w:hAnsi="Times New Roman" w:cs="Times New Roman"/>
          <w:sz w:val="22"/>
          <w:szCs w:val="22"/>
        </w:rPr>
        <w:t>: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1768">
        <w:rPr>
          <w:rFonts w:ascii="Times New Roman" w:hAnsi="Times New Roman" w:cs="Times New Roman"/>
          <w:b/>
          <w:bCs/>
          <w:sz w:val="22"/>
          <w:szCs w:val="22"/>
        </w:rPr>
        <w:t>УПУТСТВО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531768">
        <w:rPr>
          <w:rFonts w:ascii="Times New Roman" w:hAnsi="Times New Roman" w:cs="Times New Roman"/>
          <w:b/>
          <w:bCs/>
          <w:sz w:val="22"/>
          <w:szCs w:val="22"/>
        </w:rPr>
        <w:t xml:space="preserve">ЗА ПРИПРЕМУ БУЏЕТА </w:t>
      </w:r>
      <w:r w:rsidRPr="0053176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ОПШТИНЕ ВЛАДИЧИН ХАН</w:t>
      </w:r>
      <w:r w:rsidRPr="00531768">
        <w:rPr>
          <w:rFonts w:ascii="Times New Roman" w:hAnsi="Times New Roman" w:cs="Times New Roman"/>
          <w:b/>
          <w:bCs/>
          <w:sz w:val="22"/>
          <w:szCs w:val="22"/>
        </w:rPr>
        <w:t xml:space="preserve"> ЗА 201</w:t>
      </w:r>
      <w:r w:rsidR="006034DE" w:rsidRPr="00531768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531768">
        <w:rPr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53176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531768">
        <w:rPr>
          <w:rFonts w:ascii="Times New Roman" w:hAnsi="Times New Roman" w:cs="Times New Roman"/>
          <w:b/>
          <w:bCs/>
          <w:sz w:val="22"/>
          <w:szCs w:val="22"/>
        </w:rPr>
        <w:t>СА ПРОЈЕКЦИЈАМА ЗА 201</w:t>
      </w:r>
      <w:r w:rsidR="006034DE" w:rsidRPr="00531768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531768">
        <w:rPr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531768">
        <w:rPr>
          <w:rFonts w:ascii="Times New Roman" w:hAnsi="Times New Roman" w:cs="Times New Roman"/>
          <w:b/>
          <w:bCs/>
          <w:sz w:val="22"/>
          <w:szCs w:val="22"/>
        </w:rPr>
        <w:t xml:space="preserve"> И 201</w:t>
      </w:r>
      <w:r w:rsidR="006034DE" w:rsidRPr="00531768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531768">
        <w:rPr>
          <w:rFonts w:ascii="Times New Roman" w:hAnsi="Times New Roman" w:cs="Times New Roman"/>
          <w:b/>
          <w:bCs/>
          <w:sz w:val="22"/>
          <w:szCs w:val="22"/>
        </w:rPr>
        <w:t>.ГОДИНУ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1768">
        <w:rPr>
          <w:rFonts w:ascii="Times New Roman" w:hAnsi="Times New Roman" w:cs="Times New Roman"/>
          <w:b/>
          <w:bCs/>
          <w:sz w:val="22"/>
          <w:szCs w:val="22"/>
        </w:rPr>
        <w:t>УВОД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proofErr w:type="gramStart"/>
      <w:r w:rsidRPr="00531768">
        <w:rPr>
          <w:rFonts w:ascii="Times New Roman" w:hAnsi="Times New Roman" w:cs="Times New Roman"/>
          <w:sz w:val="22"/>
          <w:szCs w:val="22"/>
        </w:rPr>
        <w:t>Овим Упутством се, у складу са Законом о буџетском систему и Фискалном стратегијом</w:t>
      </w:r>
      <w:r w:rsidRPr="00531768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sz w:val="22"/>
          <w:szCs w:val="22"/>
        </w:rPr>
        <w:t>за 201</w:t>
      </w:r>
      <w:r w:rsidR="00E63803" w:rsidRPr="00531768">
        <w:rPr>
          <w:rFonts w:ascii="Times New Roman" w:hAnsi="Times New Roman" w:cs="Times New Roman"/>
          <w:sz w:val="22"/>
          <w:szCs w:val="22"/>
          <w:lang w:val="sr-Cyrl-CS"/>
        </w:rPr>
        <w:t>5</w:t>
      </w:r>
      <w:r w:rsidRPr="00531768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31768">
        <w:rPr>
          <w:rFonts w:ascii="Times New Roman" w:hAnsi="Times New Roman" w:cs="Times New Roman"/>
          <w:sz w:val="22"/>
          <w:szCs w:val="22"/>
        </w:rPr>
        <w:t>годину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 xml:space="preserve"> са пројекцијама за 201</w:t>
      </w:r>
      <w:r w:rsidR="00E63803" w:rsidRPr="00531768">
        <w:rPr>
          <w:rFonts w:ascii="Times New Roman" w:hAnsi="Times New Roman" w:cs="Times New Roman"/>
          <w:sz w:val="22"/>
          <w:szCs w:val="22"/>
          <w:lang w:val="sr-Cyrl-CS"/>
        </w:rPr>
        <w:t>6</w:t>
      </w:r>
      <w:r w:rsidRPr="00531768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531768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 xml:space="preserve"> 201</w:t>
      </w:r>
      <w:r w:rsidR="00E63803" w:rsidRPr="00531768">
        <w:rPr>
          <w:rFonts w:ascii="Times New Roman" w:hAnsi="Times New Roman" w:cs="Times New Roman"/>
          <w:sz w:val="22"/>
          <w:szCs w:val="22"/>
          <w:lang w:val="sr-Cyrl-CS"/>
        </w:rPr>
        <w:t>7</w:t>
      </w:r>
      <w:r w:rsidRPr="00531768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531768">
        <w:rPr>
          <w:rFonts w:ascii="Times New Roman" w:hAnsi="Times New Roman" w:cs="Times New Roman"/>
          <w:sz w:val="22"/>
          <w:szCs w:val="22"/>
        </w:rPr>
        <w:t>годину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>, достављају корисницима</w:t>
      </w:r>
      <w:r w:rsidRPr="00531768">
        <w:rPr>
          <w:rFonts w:ascii="Times New Roman" w:hAnsi="Times New Roman" w:cs="Times New Roman"/>
          <w:sz w:val="22"/>
          <w:szCs w:val="22"/>
          <w:lang w:val="sr-Cyrl-CS"/>
        </w:rPr>
        <w:t xml:space="preserve"> буџета Општине Владичин Хан</w:t>
      </w:r>
      <w:r w:rsidRPr="00531768">
        <w:rPr>
          <w:rFonts w:ascii="Times New Roman" w:hAnsi="Times New Roman" w:cs="Times New Roman"/>
          <w:sz w:val="22"/>
          <w:szCs w:val="22"/>
        </w:rPr>
        <w:t xml:space="preserve"> смернице, оквири и рокови</w:t>
      </w:r>
      <w:r w:rsidRPr="00531768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sz w:val="22"/>
          <w:szCs w:val="22"/>
        </w:rPr>
        <w:t xml:space="preserve">за припрему финансијских планова и захтева за средствима у буџету </w:t>
      </w:r>
      <w:r w:rsidRPr="00531768">
        <w:rPr>
          <w:rFonts w:ascii="Times New Roman" w:hAnsi="Times New Roman" w:cs="Times New Roman"/>
          <w:sz w:val="22"/>
          <w:szCs w:val="22"/>
          <w:lang w:val="sr-Cyrl-CS"/>
        </w:rPr>
        <w:t>Општине Владичин Хан</w:t>
      </w:r>
      <w:r w:rsidRPr="00531768">
        <w:rPr>
          <w:rFonts w:ascii="Times New Roman" w:hAnsi="Times New Roman" w:cs="Times New Roman"/>
          <w:sz w:val="22"/>
          <w:szCs w:val="22"/>
        </w:rPr>
        <w:t xml:space="preserve"> у 201</w:t>
      </w:r>
      <w:r w:rsidR="00E63803" w:rsidRPr="00531768">
        <w:rPr>
          <w:rFonts w:ascii="Times New Roman" w:hAnsi="Times New Roman" w:cs="Times New Roman"/>
          <w:sz w:val="22"/>
          <w:szCs w:val="22"/>
          <w:lang w:val="sr-Cyrl-CS"/>
        </w:rPr>
        <w:t>6</w:t>
      </w:r>
      <w:r w:rsidRPr="00531768">
        <w:rPr>
          <w:rFonts w:ascii="Times New Roman" w:hAnsi="Times New Roman" w:cs="Times New Roman"/>
          <w:sz w:val="22"/>
          <w:szCs w:val="22"/>
        </w:rPr>
        <w:t xml:space="preserve">. </w:t>
      </w:r>
      <w:r w:rsidRPr="00531768">
        <w:rPr>
          <w:rFonts w:ascii="Times New Roman" w:hAnsi="Times New Roman" w:cs="Times New Roman"/>
          <w:sz w:val="22"/>
          <w:szCs w:val="22"/>
          <w:lang w:val="sr-Cyrl-CS"/>
        </w:rPr>
        <w:t>с</w:t>
      </w:r>
      <w:r w:rsidRPr="00531768">
        <w:rPr>
          <w:rFonts w:ascii="Times New Roman" w:hAnsi="Times New Roman" w:cs="Times New Roman"/>
          <w:sz w:val="22"/>
          <w:szCs w:val="22"/>
        </w:rPr>
        <w:t>а</w:t>
      </w:r>
      <w:r w:rsidRPr="00531768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sz w:val="22"/>
          <w:szCs w:val="22"/>
        </w:rPr>
        <w:t>пројекцијама за 201</w:t>
      </w:r>
      <w:r w:rsidR="00E63803" w:rsidRPr="00531768">
        <w:rPr>
          <w:rFonts w:ascii="Times New Roman" w:hAnsi="Times New Roman" w:cs="Times New Roman"/>
          <w:sz w:val="22"/>
          <w:szCs w:val="22"/>
          <w:lang w:val="sr-Cyrl-CS"/>
        </w:rPr>
        <w:t>7</w:t>
      </w:r>
      <w:r w:rsidRPr="00531768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531768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 xml:space="preserve"> 201</w:t>
      </w:r>
      <w:r w:rsidR="00E63803" w:rsidRPr="00531768">
        <w:rPr>
          <w:rFonts w:ascii="Times New Roman" w:hAnsi="Times New Roman" w:cs="Times New Roman"/>
          <w:sz w:val="22"/>
          <w:szCs w:val="22"/>
          <w:lang w:val="sr-Cyrl-CS"/>
        </w:rPr>
        <w:t>8</w:t>
      </w:r>
      <w:r w:rsidRPr="00531768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531768">
        <w:rPr>
          <w:rFonts w:ascii="Times New Roman" w:hAnsi="Times New Roman" w:cs="Times New Roman"/>
          <w:sz w:val="22"/>
          <w:szCs w:val="22"/>
        </w:rPr>
        <w:t>годину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>.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  <w:lang w:val="sr-Cyrl-CS"/>
        </w:rPr>
      </w:pP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1768">
        <w:rPr>
          <w:rFonts w:ascii="Times New Roman" w:hAnsi="Times New Roman" w:cs="Times New Roman"/>
          <w:b/>
          <w:bCs/>
          <w:sz w:val="22"/>
          <w:szCs w:val="22"/>
        </w:rPr>
        <w:t>I ПРАВНИ ОСНОВ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31768">
        <w:rPr>
          <w:rFonts w:ascii="Times New Roman" w:hAnsi="Times New Roman" w:cs="Times New Roman"/>
          <w:sz w:val="22"/>
          <w:szCs w:val="22"/>
        </w:rPr>
        <w:t>Поступак припреме и доношења буџета локалне власти уређен је Законом о буџетском</w:t>
      </w:r>
      <w:r w:rsidRPr="00531768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sz w:val="22"/>
          <w:szCs w:val="22"/>
        </w:rPr>
        <w:t>систему.</w:t>
      </w:r>
      <w:proofErr w:type="gramEnd"/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31768">
        <w:rPr>
          <w:rFonts w:ascii="Times New Roman" w:hAnsi="Times New Roman" w:cs="Times New Roman"/>
          <w:sz w:val="22"/>
          <w:szCs w:val="22"/>
        </w:rPr>
        <w:t>Рокови за доношење Фискалне стратегије и достављање Упутства за припрему одлуке о</w:t>
      </w:r>
      <w:r w:rsidRPr="00531768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sz w:val="22"/>
          <w:szCs w:val="22"/>
        </w:rPr>
        <w:t>буџету локалне власти, уређени су чланом 31.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31768">
        <w:rPr>
          <w:rFonts w:ascii="Times New Roman" w:hAnsi="Times New Roman" w:cs="Times New Roman"/>
          <w:sz w:val="22"/>
          <w:szCs w:val="22"/>
        </w:rPr>
        <w:t>Закона о буџетском систему, односно буџетским</w:t>
      </w:r>
      <w:r w:rsidRPr="00531768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sz w:val="22"/>
          <w:szCs w:val="22"/>
        </w:rPr>
        <w:t>календаром.</w:t>
      </w:r>
      <w:proofErr w:type="gramEnd"/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31768">
        <w:rPr>
          <w:rFonts w:ascii="Times New Roman" w:hAnsi="Times New Roman" w:cs="Times New Roman"/>
          <w:sz w:val="22"/>
          <w:szCs w:val="22"/>
        </w:rPr>
        <w:t>На основу члана 40.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31768">
        <w:rPr>
          <w:rFonts w:ascii="Times New Roman" w:hAnsi="Times New Roman" w:cs="Times New Roman"/>
          <w:sz w:val="22"/>
          <w:szCs w:val="22"/>
        </w:rPr>
        <w:t>Закона о буџетском систему, локални орган управе надлежан за</w:t>
      </w:r>
      <w:r w:rsidRPr="00531768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sz w:val="22"/>
          <w:szCs w:val="22"/>
        </w:rPr>
        <w:t>финансије доставља упутство за припрему нацрта буџета локалне власти и обавештава</w:t>
      </w:r>
      <w:r w:rsidRPr="00531768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sz w:val="22"/>
          <w:szCs w:val="22"/>
        </w:rPr>
        <w:t>директне кориснике буџетских средстава о основним економским претпоставкама и</w:t>
      </w:r>
      <w:r w:rsidRPr="00531768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sz w:val="22"/>
          <w:szCs w:val="22"/>
        </w:rPr>
        <w:t>смерницама за припрему буџета.</w:t>
      </w:r>
      <w:proofErr w:type="gramEnd"/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proofErr w:type="gramStart"/>
      <w:r w:rsidRPr="00531768">
        <w:rPr>
          <w:rFonts w:ascii="Times New Roman" w:hAnsi="Times New Roman" w:cs="Times New Roman"/>
          <w:sz w:val="22"/>
          <w:szCs w:val="22"/>
        </w:rPr>
        <w:t>У погледу садржине предлога финансијског плана директних корисника средстава</w:t>
      </w:r>
      <w:r w:rsidRPr="00531768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sz w:val="22"/>
          <w:szCs w:val="22"/>
        </w:rPr>
        <w:t>буџета сходно се примењују одредбе члана 37.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31768">
        <w:rPr>
          <w:rFonts w:ascii="Times New Roman" w:hAnsi="Times New Roman" w:cs="Times New Roman"/>
          <w:sz w:val="22"/>
          <w:szCs w:val="22"/>
        </w:rPr>
        <w:t>истог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 xml:space="preserve"> Закона, односно предлог финансијског</w:t>
      </w:r>
      <w:r w:rsidRPr="00531768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sz w:val="22"/>
          <w:szCs w:val="22"/>
        </w:rPr>
        <w:t>плана обухвата: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1768">
        <w:rPr>
          <w:rFonts w:ascii="Times New Roman" w:hAnsi="Times New Roman" w:cs="Times New Roman"/>
          <w:sz w:val="22"/>
          <w:szCs w:val="22"/>
        </w:rPr>
        <w:t xml:space="preserve">1) </w:t>
      </w:r>
      <w:proofErr w:type="gramStart"/>
      <w:r w:rsidRPr="00531768">
        <w:rPr>
          <w:rFonts w:ascii="Times New Roman" w:hAnsi="Times New Roman" w:cs="Times New Roman"/>
          <w:sz w:val="22"/>
          <w:szCs w:val="22"/>
        </w:rPr>
        <w:t>расходе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 xml:space="preserve"> и издатке за трогодишњи период, исказане по буџетској класификацији;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531768">
        <w:rPr>
          <w:rFonts w:ascii="Times New Roman" w:hAnsi="Times New Roman" w:cs="Times New Roman"/>
          <w:sz w:val="22"/>
          <w:szCs w:val="22"/>
        </w:rPr>
        <w:t xml:space="preserve">2) </w:t>
      </w:r>
      <w:proofErr w:type="gramStart"/>
      <w:r w:rsidRPr="00531768">
        <w:rPr>
          <w:rFonts w:ascii="Times New Roman" w:hAnsi="Times New Roman" w:cs="Times New Roman"/>
          <w:sz w:val="22"/>
          <w:szCs w:val="22"/>
        </w:rPr>
        <w:t>детаљно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 xml:space="preserve"> писано образложење расхода и издатака, као и извора финансирања.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31768">
        <w:rPr>
          <w:rFonts w:ascii="Times New Roman" w:hAnsi="Times New Roman" w:cs="Times New Roman"/>
          <w:sz w:val="22"/>
          <w:szCs w:val="22"/>
        </w:rPr>
        <w:t>Директни корисници обавезни су да, у складу са смерницама и роковима, траже од</w:t>
      </w:r>
      <w:r w:rsidRPr="00531768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sz w:val="22"/>
          <w:szCs w:val="22"/>
        </w:rPr>
        <w:t>индиректних корисника за које су одговорни, да доставе податке неопходне за израду</w:t>
      </w:r>
      <w:r w:rsidRPr="00531768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sz w:val="22"/>
          <w:szCs w:val="22"/>
        </w:rPr>
        <w:t>предлога финансијског плана директног буџетског корисника.</w:t>
      </w:r>
      <w:proofErr w:type="gramEnd"/>
    </w:p>
    <w:p w:rsidR="00E65557" w:rsidRPr="00531768" w:rsidRDefault="00E65557" w:rsidP="0064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31768">
        <w:rPr>
          <w:rFonts w:ascii="Times New Roman" w:hAnsi="Times New Roman" w:cs="Times New Roman"/>
          <w:sz w:val="22"/>
          <w:szCs w:val="22"/>
        </w:rPr>
        <w:t>Истим чланом је предвиђено и да локални орган управе надлежан за финансије може</w:t>
      </w:r>
      <w:r w:rsidRPr="00531768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sz w:val="22"/>
          <w:szCs w:val="22"/>
        </w:rPr>
        <w:t>да тражи непосредно од индиректних буџетских корисника податке о финансирању.</w:t>
      </w:r>
      <w:proofErr w:type="gramEnd"/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31768">
        <w:rPr>
          <w:rFonts w:ascii="Times New Roman" w:hAnsi="Times New Roman" w:cs="Times New Roman"/>
          <w:sz w:val="22"/>
          <w:szCs w:val="22"/>
        </w:rPr>
        <w:lastRenderedPageBreak/>
        <w:t>Чланом 41.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31768">
        <w:rPr>
          <w:rFonts w:ascii="Times New Roman" w:hAnsi="Times New Roman" w:cs="Times New Roman"/>
          <w:sz w:val="22"/>
          <w:szCs w:val="22"/>
        </w:rPr>
        <w:t>Закона о буџетском систему дефинисано је да су индиректни корисници</w:t>
      </w:r>
      <w:r w:rsidRPr="00531768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sz w:val="22"/>
          <w:szCs w:val="22"/>
        </w:rPr>
        <w:t>средстава буџета локалне власти обавезни да припреме предлог финансијског плана на основу</w:t>
      </w:r>
      <w:r w:rsidRPr="00531768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sz w:val="22"/>
          <w:szCs w:val="22"/>
        </w:rPr>
        <w:t>смерница које се односе на буџет локалне власти.</w:t>
      </w:r>
      <w:proofErr w:type="gramEnd"/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31768">
        <w:rPr>
          <w:rFonts w:ascii="Times New Roman" w:hAnsi="Times New Roman" w:cs="Times New Roman"/>
          <w:sz w:val="22"/>
          <w:szCs w:val="22"/>
        </w:rPr>
        <w:t>Чланом 112.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 xml:space="preserve"> Закона о буџетском систему (прелазне и завршне одредбе) уређено је да</w:t>
      </w:r>
      <w:r w:rsidRPr="00531768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sz w:val="22"/>
          <w:szCs w:val="22"/>
        </w:rPr>
        <w:t xml:space="preserve">ће се одредбе овог Закона, у делу који се односи на </w:t>
      </w:r>
      <w:r w:rsidRPr="00531768">
        <w:rPr>
          <w:rFonts w:ascii="Times New Roman" w:hAnsi="Times New Roman" w:cs="Times New Roman"/>
          <w:b/>
          <w:bCs/>
          <w:sz w:val="22"/>
          <w:szCs w:val="22"/>
        </w:rPr>
        <w:t>програмски део буџета</w:t>
      </w:r>
      <w:r w:rsidRPr="00531768">
        <w:rPr>
          <w:rFonts w:ascii="Times New Roman" w:hAnsi="Times New Roman" w:cs="Times New Roman"/>
          <w:sz w:val="22"/>
          <w:szCs w:val="22"/>
        </w:rPr>
        <w:t xml:space="preserve">, </w:t>
      </w:r>
      <w:r w:rsidRPr="00531768">
        <w:rPr>
          <w:rFonts w:ascii="Times New Roman" w:hAnsi="Times New Roman" w:cs="Times New Roman"/>
          <w:b/>
          <w:bCs/>
          <w:sz w:val="22"/>
          <w:szCs w:val="22"/>
        </w:rPr>
        <w:t>примењивати</w:t>
      </w:r>
      <w:r w:rsidRPr="0053176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sz w:val="22"/>
          <w:szCs w:val="22"/>
        </w:rPr>
        <w:t xml:space="preserve">постепеним увођењем за поједине кориснике средстава буџета Републике Србије, а </w:t>
      </w:r>
      <w:r w:rsidRPr="00531768">
        <w:rPr>
          <w:rFonts w:ascii="Times New Roman" w:hAnsi="Times New Roman" w:cs="Times New Roman"/>
          <w:b/>
          <w:bCs/>
          <w:sz w:val="22"/>
          <w:szCs w:val="22"/>
        </w:rPr>
        <w:t>у целини</w:t>
      </w:r>
      <w:r w:rsidRPr="0053176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/>
          <w:bCs/>
          <w:sz w:val="22"/>
          <w:szCs w:val="22"/>
        </w:rPr>
        <w:t xml:space="preserve">од доношења </w:t>
      </w:r>
      <w:r w:rsidRPr="00531768">
        <w:rPr>
          <w:rFonts w:ascii="Times New Roman" w:hAnsi="Times New Roman" w:cs="Times New Roman"/>
          <w:sz w:val="22"/>
          <w:szCs w:val="22"/>
        </w:rPr>
        <w:t xml:space="preserve">Закона о буџету Републике Србије </w:t>
      </w:r>
      <w:r w:rsidRPr="00531768">
        <w:rPr>
          <w:rFonts w:ascii="Times New Roman" w:hAnsi="Times New Roman" w:cs="Times New Roman"/>
          <w:b/>
          <w:bCs/>
          <w:sz w:val="22"/>
          <w:szCs w:val="22"/>
        </w:rPr>
        <w:t xml:space="preserve">и одлука локалне власти за 2015. </w:t>
      </w:r>
      <w:proofErr w:type="gramStart"/>
      <w:r w:rsidRPr="00531768">
        <w:rPr>
          <w:rFonts w:ascii="Times New Roman" w:hAnsi="Times New Roman" w:cs="Times New Roman"/>
          <w:b/>
          <w:bCs/>
          <w:sz w:val="22"/>
          <w:szCs w:val="22"/>
        </w:rPr>
        <w:t>годину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>.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31768">
        <w:rPr>
          <w:rFonts w:ascii="Times New Roman" w:hAnsi="Times New Roman" w:cs="Times New Roman"/>
          <w:sz w:val="22"/>
          <w:szCs w:val="22"/>
        </w:rPr>
        <w:t xml:space="preserve">На сајту Министарства финансија објављено је </w:t>
      </w:r>
      <w:r w:rsidRPr="00531768">
        <w:rPr>
          <w:rFonts w:ascii="Times New Roman" w:hAnsi="Times New Roman" w:cs="Times New Roman"/>
          <w:b/>
          <w:bCs/>
          <w:sz w:val="22"/>
          <w:szCs w:val="22"/>
        </w:rPr>
        <w:t>Упутство за припрему програмског</w:t>
      </w:r>
      <w:r w:rsidRPr="0053176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/>
          <w:bCs/>
          <w:sz w:val="22"/>
          <w:szCs w:val="22"/>
        </w:rPr>
        <w:t xml:space="preserve">буџета </w:t>
      </w:r>
      <w:r w:rsidRPr="00531768">
        <w:rPr>
          <w:rFonts w:ascii="Times New Roman" w:hAnsi="Times New Roman" w:cs="Times New Roman"/>
          <w:sz w:val="22"/>
          <w:szCs w:val="22"/>
        </w:rPr>
        <w:t>за нови начин планирања и исказивања података у програмском буџету.</w:t>
      </w:r>
      <w:proofErr w:type="gramEnd"/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31768">
        <w:rPr>
          <w:rFonts w:ascii="Times New Roman" w:hAnsi="Times New Roman" w:cs="Times New Roman"/>
          <w:sz w:val="22"/>
          <w:szCs w:val="22"/>
        </w:rPr>
        <w:t>Директни корисници буџетских средстава су одговорни да упутство са одговарајућим</w:t>
      </w:r>
      <w:r w:rsidRPr="00531768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sz w:val="22"/>
          <w:szCs w:val="22"/>
        </w:rPr>
        <w:t>обрасцима доставе индиректним корисницима буџета у својој надлежности.</w:t>
      </w:r>
      <w:proofErr w:type="gramEnd"/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  <w:lang w:val="sr-Cyrl-CS"/>
        </w:rPr>
      </w:pP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sr-Cyrl-CS"/>
        </w:rPr>
      </w:pP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1768">
        <w:rPr>
          <w:rFonts w:ascii="Times New Roman" w:hAnsi="Times New Roman" w:cs="Times New Roman"/>
          <w:b/>
          <w:bCs/>
          <w:sz w:val="22"/>
          <w:szCs w:val="22"/>
        </w:rPr>
        <w:t>II ОПШТИ ДЕО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31768">
        <w:rPr>
          <w:rFonts w:ascii="Times New Roman" w:hAnsi="Times New Roman" w:cs="Times New Roman"/>
          <w:sz w:val="22"/>
          <w:szCs w:val="22"/>
        </w:rPr>
        <w:t xml:space="preserve">Упутство за припрему буџета </w:t>
      </w:r>
      <w:r w:rsidRPr="00531768">
        <w:rPr>
          <w:rFonts w:ascii="Times New Roman" w:hAnsi="Times New Roman" w:cs="Times New Roman"/>
          <w:sz w:val="22"/>
          <w:szCs w:val="22"/>
          <w:lang w:val="sr-Cyrl-CS"/>
        </w:rPr>
        <w:t>Општине Владичин Хан</w:t>
      </w:r>
      <w:r w:rsidRPr="00531768">
        <w:rPr>
          <w:rFonts w:ascii="Times New Roman" w:hAnsi="Times New Roman" w:cs="Times New Roman"/>
          <w:sz w:val="22"/>
          <w:szCs w:val="22"/>
        </w:rPr>
        <w:t xml:space="preserve"> за 201</w:t>
      </w:r>
      <w:r w:rsidR="00327014" w:rsidRPr="00531768">
        <w:rPr>
          <w:rFonts w:ascii="Times New Roman" w:hAnsi="Times New Roman" w:cs="Times New Roman"/>
          <w:sz w:val="22"/>
          <w:szCs w:val="22"/>
          <w:lang w:val="sr-Cyrl-CS"/>
        </w:rPr>
        <w:t>6</w:t>
      </w:r>
      <w:r w:rsidRPr="00531768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31768">
        <w:rPr>
          <w:rFonts w:ascii="Times New Roman" w:hAnsi="Times New Roman" w:cs="Times New Roman"/>
          <w:sz w:val="22"/>
          <w:szCs w:val="22"/>
        </w:rPr>
        <w:t>са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 xml:space="preserve"> пројекцијама за 201</w:t>
      </w:r>
      <w:r w:rsidR="00327014" w:rsidRPr="00531768">
        <w:rPr>
          <w:rFonts w:ascii="Times New Roman" w:hAnsi="Times New Roman" w:cs="Times New Roman"/>
          <w:sz w:val="22"/>
          <w:szCs w:val="22"/>
          <w:lang w:val="sr-Cyrl-CS"/>
        </w:rPr>
        <w:t>7</w:t>
      </w:r>
      <w:r w:rsidRPr="00531768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531768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 xml:space="preserve"> 201</w:t>
      </w:r>
      <w:r w:rsidR="00327014" w:rsidRPr="00531768">
        <w:rPr>
          <w:rFonts w:ascii="Times New Roman" w:hAnsi="Times New Roman" w:cs="Times New Roman"/>
          <w:sz w:val="22"/>
          <w:szCs w:val="22"/>
          <w:lang w:val="sr-Cyrl-CS"/>
        </w:rPr>
        <w:t>8</w:t>
      </w:r>
      <w:r w:rsidRPr="00531768">
        <w:rPr>
          <w:rFonts w:ascii="Times New Roman" w:hAnsi="Times New Roman" w:cs="Times New Roman"/>
          <w:sz w:val="22"/>
          <w:szCs w:val="22"/>
        </w:rPr>
        <w:t>.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31768">
        <w:rPr>
          <w:rFonts w:ascii="Times New Roman" w:hAnsi="Times New Roman" w:cs="Times New Roman"/>
          <w:sz w:val="22"/>
          <w:szCs w:val="22"/>
        </w:rPr>
        <w:t>годину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 xml:space="preserve"> садржи: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1768">
        <w:rPr>
          <w:rFonts w:ascii="Times New Roman" w:hAnsi="Times New Roman" w:cs="Times New Roman"/>
          <w:sz w:val="22"/>
          <w:szCs w:val="22"/>
        </w:rPr>
        <w:t xml:space="preserve">1) </w:t>
      </w:r>
      <w:proofErr w:type="gramStart"/>
      <w:r w:rsidRPr="00531768">
        <w:rPr>
          <w:rFonts w:ascii="Times New Roman" w:hAnsi="Times New Roman" w:cs="Times New Roman"/>
          <w:sz w:val="22"/>
          <w:szCs w:val="22"/>
        </w:rPr>
        <w:t>основне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 xml:space="preserve"> економске претпоставке и смернице за припрему буџета за</w:t>
      </w:r>
      <w:r w:rsidRPr="00531768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sz w:val="22"/>
          <w:szCs w:val="22"/>
        </w:rPr>
        <w:t>201</w:t>
      </w:r>
      <w:r w:rsidR="00327014" w:rsidRPr="00531768">
        <w:rPr>
          <w:rFonts w:ascii="Times New Roman" w:hAnsi="Times New Roman" w:cs="Times New Roman"/>
          <w:sz w:val="22"/>
          <w:szCs w:val="22"/>
          <w:lang w:val="sr-Cyrl-CS"/>
        </w:rPr>
        <w:t>6</w:t>
      </w:r>
      <w:r w:rsidRPr="00531768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531768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 xml:space="preserve"> наредне две године,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1768">
        <w:rPr>
          <w:rFonts w:ascii="Times New Roman" w:hAnsi="Times New Roman" w:cs="Times New Roman"/>
          <w:sz w:val="22"/>
          <w:szCs w:val="22"/>
        </w:rPr>
        <w:t xml:space="preserve">2) </w:t>
      </w:r>
      <w:proofErr w:type="gramStart"/>
      <w:r w:rsidRPr="00531768">
        <w:rPr>
          <w:rFonts w:ascii="Times New Roman" w:hAnsi="Times New Roman" w:cs="Times New Roman"/>
          <w:sz w:val="22"/>
          <w:szCs w:val="22"/>
        </w:rPr>
        <w:t>опис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 xml:space="preserve"> планиран</w:t>
      </w:r>
      <w:r w:rsidR="00327014" w:rsidRPr="00531768">
        <w:rPr>
          <w:rFonts w:ascii="Times New Roman" w:hAnsi="Times New Roman" w:cs="Times New Roman"/>
          <w:sz w:val="22"/>
          <w:szCs w:val="22"/>
        </w:rPr>
        <w:t>е политике локалне власти у 2016</w:t>
      </w:r>
      <w:r w:rsidRPr="00531768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531768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 xml:space="preserve"> наредне две фискалне године,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1768">
        <w:rPr>
          <w:rFonts w:ascii="Times New Roman" w:hAnsi="Times New Roman" w:cs="Times New Roman"/>
          <w:sz w:val="22"/>
          <w:szCs w:val="22"/>
        </w:rPr>
        <w:t xml:space="preserve">3) </w:t>
      </w:r>
      <w:proofErr w:type="gramStart"/>
      <w:r w:rsidRPr="00531768">
        <w:rPr>
          <w:rFonts w:ascii="Times New Roman" w:hAnsi="Times New Roman" w:cs="Times New Roman"/>
          <w:sz w:val="22"/>
          <w:szCs w:val="22"/>
        </w:rPr>
        <w:t>процену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 xml:space="preserve"> прихода и примања и расхода и издатака за 201</w:t>
      </w:r>
      <w:r w:rsidR="00327014" w:rsidRPr="00531768">
        <w:rPr>
          <w:rFonts w:ascii="Times New Roman" w:hAnsi="Times New Roman" w:cs="Times New Roman"/>
          <w:sz w:val="22"/>
          <w:szCs w:val="22"/>
          <w:lang w:val="sr-Cyrl-CS"/>
        </w:rPr>
        <w:t>6</w:t>
      </w:r>
      <w:r w:rsidRPr="00531768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531768">
        <w:rPr>
          <w:rFonts w:ascii="Times New Roman" w:hAnsi="Times New Roman" w:cs="Times New Roman"/>
          <w:sz w:val="22"/>
          <w:szCs w:val="22"/>
        </w:rPr>
        <w:t>годину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 xml:space="preserve"> и наредне две</w:t>
      </w:r>
      <w:r w:rsidRPr="00531768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sz w:val="22"/>
          <w:szCs w:val="22"/>
        </w:rPr>
        <w:t>фискалне године,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1768">
        <w:rPr>
          <w:rFonts w:ascii="Times New Roman" w:hAnsi="Times New Roman" w:cs="Times New Roman"/>
          <w:sz w:val="22"/>
          <w:szCs w:val="22"/>
        </w:rPr>
        <w:t xml:space="preserve">4) </w:t>
      </w:r>
      <w:proofErr w:type="gramStart"/>
      <w:r w:rsidRPr="00531768">
        <w:rPr>
          <w:rFonts w:ascii="Times New Roman" w:hAnsi="Times New Roman" w:cs="Times New Roman"/>
          <w:sz w:val="22"/>
          <w:szCs w:val="22"/>
        </w:rPr>
        <w:t>обим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 xml:space="preserve"> средстава који може да садржи предлог финансијског плана директног корисника</w:t>
      </w:r>
      <w:r w:rsidRPr="00531768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sz w:val="22"/>
          <w:szCs w:val="22"/>
        </w:rPr>
        <w:t>средстава буџета за 201</w:t>
      </w:r>
      <w:r w:rsidR="00327014" w:rsidRPr="00531768">
        <w:rPr>
          <w:rFonts w:ascii="Times New Roman" w:hAnsi="Times New Roman" w:cs="Times New Roman"/>
          <w:sz w:val="22"/>
          <w:szCs w:val="22"/>
          <w:lang w:val="sr-Cyrl-CS"/>
        </w:rPr>
        <w:t>6</w:t>
      </w:r>
      <w:r w:rsidRPr="00531768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531768">
        <w:rPr>
          <w:rFonts w:ascii="Times New Roman" w:hAnsi="Times New Roman" w:cs="Times New Roman"/>
          <w:sz w:val="22"/>
          <w:szCs w:val="22"/>
        </w:rPr>
        <w:t>годину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 xml:space="preserve"> са пројекцијама за наредне две фискалне године,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1768">
        <w:rPr>
          <w:rFonts w:ascii="Times New Roman" w:hAnsi="Times New Roman" w:cs="Times New Roman"/>
          <w:sz w:val="22"/>
          <w:szCs w:val="22"/>
        </w:rPr>
        <w:t xml:space="preserve">5) </w:t>
      </w:r>
      <w:proofErr w:type="gramStart"/>
      <w:r w:rsidRPr="00531768">
        <w:rPr>
          <w:rFonts w:ascii="Times New Roman" w:hAnsi="Times New Roman" w:cs="Times New Roman"/>
          <w:sz w:val="22"/>
          <w:szCs w:val="22"/>
        </w:rPr>
        <w:t>смернице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 xml:space="preserve"> за припрему средњорочних планова директних корисника средстава буџета,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1768">
        <w:rPr>
          <w:rFonts w:ascii="Times New Roman" w:hAnsi="Times New Roman" w:cs="Times New Roman"/>
          <w:sz w:val="22"/>
          <w:szCs w:val="22"/>
        </w:rPr>
        <w:t xml:space="preserve">6) </w:t>
      </w:r>
      <w:proofErr w:type="gramStart"/>
      <w:r w:rsidRPr="00531768">
        <w:rPr>
          <w:rFonts w:ascii="Times New Roman" w:hAnsi="Times New Roman" w:cs="Times New Roman"/>
          <w:sz w:val="22"/>
          <w:szCs w:val="22"/>
        </w:rPr>
        <w:t>поступак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 xml:space="preserve"> и динамику припреме буџета </w:t>
      </w:r>
      <w:r w:rsidRPr="00531768">
        <w:rPr>
          <w:rFonts w:ascii="Times New Roman" w:hAnsi="Times New Roman" w:cs="Times New Roman"/>
          <w:sz w:val="22"/>
          <w:szCs w:val="22"/>
          <w:lang w:val="sr-Cyrl-CS"/>
        </w:rPr>
        <w:t xml:space="preserve">Општине Владичин Хан </w:t>
      </w:r>
      <w:r w:rsidRPr="00531768">
        <w:rPr>
          <w:rFonts w:ascii="Times New Roman" w:hAnsi="Times New Roman" w:cs="Times New Roman"/>
          <w:sz w:val="22"/>
          <w:szCs w:val="22"/>
        </w:rPr>
        <w:t>и предлога финансијских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proofErr w:type="gramStart"/>
      <w:r w:rsidRPr="00531768">
        <w:rPr>
          <w:rFonts w:ascii="Times New Roman" w:hAnsi="Times New Roman" w:cs="Times New Roman"/>
          <w:sz w:val="22"/>
          <w:szCs w:val="22"/>
        </w:rPr>
        <w:t>планова</w:t>
      </w:r>
      <w:proofErr w:type="gramEnd"/>
      <w:r w:rsidRPr="00531768">
        <w:rPr>
          <w:rFonts w:ascii="Times New Roman" w:hAnsi="Times New Roman" w:cs="Times New Roman"/>
          <w:sz w:val="22"/>
          <w:szCs w:val="22"/>
        </w:rPr>
        <w:t xml:space="preserve"> директних корисника средстава буџета.</w:t>
      </w:r>
    </w:p>
    <w:p w:rsidR="00F66335" w:rsidRPr="00531768" w:rsidRDefault="00F66335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531768">
        <w:rPr>
          <w:rFonts w:ascii="Times New Roman" w:hAnsi="Times New Roman" w:cs="Times New Roman"/>
          <w:sz w:val="22"/>
          <w:szCs w:val="22"/>
          <w:lang w:val="sr-Cyrl-CS"/>
        </w:rPr>
        <w:t>7) упутство за припрему програмског буџета.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E65557" w:rsidRPr="00531768" w:rsidRDefault="00E65557" w:rsidP="00E655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  <w:r w:rsidRPr="00531768">
        <w:rPr>
          <w:rFonts w:ascii="Times New Roman" w:hAnsi="Times New Roman" w:cs="Times New Roman"/>
          <w:b/>
          <w:bCs/>
          <w:sz w:val="22"/>
          <w:szCs w:val="22"/>
        </w:rPr>
        <w:t xml:space="preserve"> OСНОВНЕ ЕКОНОМСКЕ ПРЕТПОСТАВКЕ И СМЕРНИЦЕ ЗА ПРИПРЕМУ НАЦРТА БУЏЕТА </w:t>
      </w:r>
      <w:r w:rsidRPr="0053176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ОПШТИНЕ ВЛАДИЧИН ХАН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  <w:lang w:val="sr-Cyrl-CS"/>
        </w:rPr>
      </w:pPr>
      <w:r w:rsidRPr="00531768">
        <w:rPr>
          <w:rFonts w:ascii="Times New Roman" w:hAnsi="Times New Roman" w:cs="Times New Roman"/>
          <w:b/>
          <w:bCs/>
          <w:sz w:val="22"/>
          <w:szCs w:val="22"/>
          <w:u w:val="single"/>
        </w:rPr>
        <w:t>ЗА НАРЕДНУ ФИСКАЛНУ ГОДИНУ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  <w:lang w:val="sr-Cyrl-CS"/>
        </w:rPr>
      </w:pP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Иако је дошло до кашњења у доношењу Фискалне стратегије за 201</w:t>
      </w:r>
      <w:r w:rsidR="00BF67D9"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531768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годину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>, основне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смернице у овом Упутству дате су на основу члана 27е Закона о буџетском систему, Фискалне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стратегије за 201</w:t>
      </w:r>
      <w:r w:rsidR="00BF67D9"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5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са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пројекцијама за 201</w:t>
      </w:r>
      <w:r w:rsidR="00BF67D9"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и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BF67D9"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7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годину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>, Упутства за припрему буџета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локалне власти за 201</w:t>
      </w:r>
      <w:r w:rsidR="00BF67D9"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5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годину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и пројекцијама за 201</w:t>
      </w:r>
      <w:r w:rsidR="00BF67D9"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и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BF67D9"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7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годину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и Упутства за припрему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програмског буџета.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Фискална стратегија за 201</w:t>
      </w:r>
      <w:r w:rsidR="00BF67D9"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5</w:t>
      </w:r>
      <w:r w:rsidRPr="00531768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годину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са пројекцијама за 201</w:t>
      </w:r>
      <w:r w:rsidR="00BF67D9"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и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BF67D9"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7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годину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(у даљем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тексту Фискална стратегија) је документ средњорочног планирања буџета у који су укључене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средњорочне анализе и пројекције републичког буџета, буџета општина и градова и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ванбуџетских фондова и саставни је део планирања буџета за сваку наредну годину</w:t>
      </w:r>
      <w:r w:rsidRPr="0053176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  <w:r w:rsidRPr="00531768">
        <w:rPr>
          <w:rFonts w:ascii="Times New Roman" w:hAnsi="Times New Roman" w:cs="Times New Roman"/>
          <w:b/>
          <w:bCs/>
          <w:sz w:val="22"/>
          <w:szCs w:val="22"/>
        </w:rPr>
        <w:t xml:space="preserve">Основни циљеви </w:t>
      </w:r>
      <w:r w:rsidR="00C72D5F" w:rsidRPr="0053176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макро</w:t>
      </w:r>
      <w:r w:rsidRPr="00531768">
        <w:rPr>
          <w:rFonts w:ascii="Times New Roman" w:hAnsi="Times New Roman" w:cs="Times New Roman"/>
          <w:b/>
          <w:bCs/>
          <w:sz w:val="22"/>
          <w:szCs w:val="22"/>
        </w:rPr>
        <w:t>економске политике су: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E65557" w:rsidRPr="00531768" w:rsidRDefault="00E65557" w:rsidP="00E655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2"/>
          <w:szCs w:val="22"/>
        </w:rPr>
        <w:t>стабилизација дуга, након оштрог раста, и успостављање тренда његовог смањења;</w:t>
      </w:r>
    </w:p>
    <w:p w:rsidR="00E65557" w:rsidRPr="00531768" w:rsidRDefault="00E65557" w:rsidP="00E655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2"/>
          <w:szCs w:val="22"/>
        </w:rPr>
        <w:t>подстицање привредног раста заснованог на инвестицијама и извозу;</w:t>
      </w:r>
    </w:p>
    <w:p w:rsidR="00E65557" w:rsidRPr="00531768" w:rsidRDefault="00E65557" w:rsidP="00E655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раст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запослености и повећање животног стандарда након снажнијег покретања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привредне активности.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  <w:r w:rsidRPr="00531768">
        <w:rPr>
          <w:rFonts w:ascii="Times New Roman" w:hAnsi="Times New Roman" w:cs="Times New Roman"/>
          <w:b/>
          <w:bCs/>
          <w:sz w:val="22"/>
          <w:szCs w:val="22"/>
        </w:rPr>
        <w:t>Основни циљеви и приоритети фискалне политике у наредном периоду су: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E65557" w:rsidRPr="00531768" w:rsidRDefault="00E65557" w:rsidP="00E655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2"/>
          <w:szCs w:val="22"/>
        </w:rPr>
        <w:t>јасна приоритизација капиталних/инвестиционих пројеката у којима ће држава имати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улогу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инвеститора и превођење других таквих пројеката на модел концесионог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финансирања и јавно-приватних партнерстава;</w:t>
      </w:r>
    </w:p>
    <w:p w:rsidR="00E65557" w:rsidRPr="00531768" w:rsidRDefault="00E65557" w:rsidP="00E655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2"/>
          <w:szCs w:val="22"/>
        </w:rPr>
        <w:t>јачање пореске дисциплине која подразумева побољшање система наплате пореза и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смањење сиве економије</w:t>
      </w:r>
      <w:r w:rsidR="00384A2E"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односно пореске евазије</w:t>
      </w:r>
      <w:r w:rsidRPr="00531768">
        <w:rPr>
          <w:rFonts w:ascii="Times New Roman" w:hAnsi="Times New Roman" w:cs="Times New Roman"/>
          <w:bCs/>
          <w:sz w:val="22"/>
          <w:szCs w:val="22"/>
        </w:rPr>
        <w:t>;</w:t>
      </w:r>
    </w:p>
    <w:p w:rsidR="00E65557" w:rsidRPr="00531768" w:rsidRDefault="00E65557" w:rsidP="00E655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2"/>
          <w:szCs w:val="22"/>
        </w:rPr>
        <w:t>разматрање, у средњем року, постепеног пребацивања тежишта пореске политике са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намета на рад на друге изворе пореских прихода, и то искључиво на начин који би са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сигурношћу био најмање билансно неутралан;</w:t>
      </w:r>
    </w:p>
    <w:p w:rsidR="00E65557" w:rsidRPr="00531768" w:rsidRDefault="00E65557" w:rsidP="00E655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јачање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дугорочне фискалне одрживости кроз спровођење структурних реформи,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посебно реформи јавног сектора.</w:t>
      </w:r>
    </w:p>
    <w:p w:rsidR="00384A2E" w:rsidRPr="00531768" w:rsidRDefault="00384A2E" w:rsidP="00E655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Рационализација јавног сектора крз унапрешење и корпоратизацију пословања у јавним предузећима,</w:t>
      </w:r>
    </w:p>
    <w:p w:rsidR="00384A2E" w:rsidRPr="00531768" w:rsidRDefault="00384A2E" w:rsidP="00E655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Политика расхода усмерава се на поштовање посебних фискалних правила у делу индексација плата и пензија као и кроз наставак релативног смањења текућих расхода (нарочито за субвенције и буџетске кредите привреди).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  <w:proofErr w:type="gramStart"/>
      <w:r w:rsidRPr="00531768">
        <w:rPr>
          <w:rFonts w:ascii="Times New Roman" w:hAnsi="Times New Roman" w:cs="Times New Roman"/>
          <w:b/>
          <w:bCs/>
          <w:sz w:val="22"/>
          <w:szCs w:val="22"/>
        </w:rPr>
        <w:t>У даљем тексту дајемо преглед појединих макроекономских показатеља који су од</w:t>
      </w:r>
      <w:r w:rsidRPr="0053176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/>
          <w:bCs/>
          <w:sz w:val="22"/>
          <w:szCs w:val="22"/>
        </w:rPr>
        <w:t xml:space="preserve">значаја за израду Буџета </w:t>
      </w:r>
      <w:r w:rsidRPr="0053176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Општине Владичин Хан</w:t>
      </w:r>
      <w:r w:rsidRPr="00531768">
        <w:rPr>
          <w:rFonts w:ascii="Times New Roman" w:hAnsi="Times New Roman" w:cs="Times New Roman"/>
          <w:b/>
          <w:bCs/>
          <w:sz w:val="22"/>
          <w:szCs w:val="22"/>
        </w:rPr>
        <w:t xml:space="preserve"> за 201</w:t>
      </w:r>
      <w:r w:rsidR="001C05C8" w:rsidRPr="0053176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6</w:t>
      </w:r>
      <w:r w:rsidRPr="00531768">
        <w:rPr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Pr="0053176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gramStart"/>
      <w:r w:rsidRPr="00531768">
        <w:rPr>
          <w:rFonts w:ascii="Times New Roman" w:hAnsi="Times New Roman" w:cs="Times New Roman"/>
          <w:b/>
          <w:bCs/>
          <w:sz w:val="22"/>
          <w:szCs w:val="22"/>
        </w:rPr>
        <w:t>и</w:t>
      </w:r>
      <w:proofErr w:type="gramEnd"/>
      <w:r w:rsidRPr="00531768">
        <w:rPr>
          <w:rFonts w:ascii="Times New Roman" w:hAnsi="Times New Roman" w:cs="Times New Roman"/>
          <w:b/>
          <w:bCs/>
          <w:sz w:val="22"/>
          <w:szCs w:val="22"/>
        </w:rPr>
        <w:t xml:space="preserve"> наредне две фискалне године</w:t>
      </w:r>
      <w:r w:rsidR="00A413E2" w:rsidRPr="0053176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а </w:t>
      </w:r>
      <w:r w:rsidR="00A413E2" w:rsidRPr="00531768">
        <w:rPr>
          <w:rFonts w:ascii="Times New Roman" w:hAnsi="Times New Roman" w:cs="Times New Roman"/>
          <w:b/>
          <w:sz w:val="22"/>
          <w:szCs w:val="22"/>
          <w:lang w:val="sr-Cyrl-CS"/>
        </w:rPr>
        <w:t>на основу последњих пројекција Народне Банке Србије, Републичког Завода за статистику и Министарства финансија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2"/>
          <w:szCs w:val="22"/>
          <w:lang w:val="sr-Cyrl-CS"/>
        </w:rPr>
      </w:pPr>
      <w:r w:rsidRPr="00531768">
        <w:rPr>
          <w:rFonts w:ascii="Times New Roman" w:hAnsi="Times New Roman" w:cs="Times New Roman"/>
          <w:b/>
          <w:bCs/>
          <w:i/>
          <w:iCs/>
          <w:sz w:val="22"/>
          <w:szCs w:val="22"/>
        </w:rPr>
        <w:t>Табела: Пројекција основних макроекономских показатеља Републике Србије у периоду 201</w:t>
      </w:r>
      <w:r w:rsidR="00A413E2" w:rsidRPr="00531768">
        <w:rPr>
          <w:rFonts w:ascii="Times New Roman" w:hAnsi="Times New Roman" w:cs="Times New Roman"/>
          <w:b/>
          <w:bCs/>
          <w:i/>
          <w:iCs/>
          <w:sz w:val="22"/>
          <w:szCs w:val="22"/>
          <w:lang w:val="sr-Cyrl-CS"/>
        </w:rPr>
        <w:t>5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2"/>
          <w:szCs w:val="22"/>
          <w:lang w:val="sr-Cyrl-CS"/>
        </w:rPr>
      </w:pPr>
      <w:r w:rsidRPr="00531768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– 201</w:t>
      </w:r>
      <w:r w:rsidR="00A413E2" w:rsidRPr="00531768">
        <w:rPr>
          <w:rFonts w:ascii="Times New Roman" w:hAnsi="Times New Roman" w:cs="Times New Roman"/>
          <w:b/>
          <w:bCs/>
          <w:i/>
          <w:iCs/>
          <w:sz w:val="22"/>
          <w:szCs w:val="22"/>
          <w:lang w:val="sr-Cyrl-CS"/>
        </w:rPr>
        <w:t>8</w:t>
      </w:r>
      <w:r w:rsidRPr="00531768">
        <w:rPr>
          <w:rFonts w:ascii="Times New Roman" w:hAnsi="Times New Roman" w:cs="Times New Roman"/>
          <w:b/>
          <w:bCs/>
          <w:i/>
          <w:iCs/>
          <w:sz w:val="22"/>
          <w:szCs w:val="22"/>
        </w:rPr>
        <w:t>. Године</w:t>
      </w:r>
    </w:p>
    <w:tbl>
      <w:tblPr>
        <w:tblStyle w:val="TableGrid"/>
        <w:tblW w:w="0" w:type="auto"/>
        <w:tblLook w:val="04A0"/>
      </w:tblPr>
      <w:tblGrid>
        <w:gridCol w:w="4428"/>
        <w:gridCol w:w="1170"/>
        <w:gridCol w:w="1440"/>
        <w:gridCol w:w="1430"/>
        <w:gridCol w:w="1108"/>
      </w:tblGrid>
      <w:tr w:rsidR="00E65557" w:rsidRPr="00531768" w:rsidTr="005E7B40">
        <w:tc>
          <w:tcPr>
            <w:tcW w:w="4428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170" w:type="dxa"/>
          </w:tcPr>
          <w:p w:rsidR="00E65557" w:rsidRPr="00531768" w:rsidRDefault="00537614" w:rsidP="005E7B40">
            <w:pPr>
              <w:jc w:val="center"/>
              <w:rPr>
                <w:lang w:val="sr-Cyrl-CS"/>
              </w:rPr>
            </w:pPr>
            <w:r w:rsidRPr="00531768">
              <w:rPr>
                <w:rFonts w:ascii="Calibri" w:hAnsi="Calibri" w:cs="Calibri"/>
                <w:sz w:val="22"/>
                <w:szCs w:val="22"/>
                <w:lang w:val="sr-Cyrl-CS"/>
              </w:rPr>
              <w:t>Процена</w:t>
            </w:r>
          </w:p>
        </w:tc>
        <w:tc>
          <w:tcPr>
            <w:tcW w:w="3978" w:type="dxa"/>
            <w:gridSpan w:val="3"/>
          </w:tcPr>
          <w:p w:rsidR="00E65557" w:rsidRPr="00531768" w:rsidRDefault="00E65557" w:rsidP="005E7B40">
            <w:pPr>
              <w:jc w:val="center"/>
            </w:pPr>
            <w:r w:rsidRPr="00531768">
              <w:rPr>
                <w:rFonts w:ascii="Calibri" w:hAnsi="Calibri" w:cs="Calibri"/>
                <w:sz w:val="22"/>
                <w:szCs w:val="22"/>
              </w:rPr>
              <w:t>ПРОЈЕКЦИЈА</w:t>
            </w:r>
          </w:p>
        </w:tc>
      </w:tr>
      <w:tr w:rsidR="00E65557" w:rsidRPr="00531768" w:rsidTr="005E7B40">
        <w:tc>
          <w:tcPr>
            <w:tcW w:w="4428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170" w:type="dxa"/>
          </w:tcPr>
          <w:p w:rsidR="00E65557" w:rsidRPr="00531768" w:rsidRDefault="00E65557" w:rsidP="00BF67D9">
            <w:pPr>
              <w:jc w:val="center"/>
              <w:rPr>
                <w:lang w:val="sr-Cyrl-CS"/>
              </w:rPr>
            </w:pPr>
            <w:r w:rsidRPr="00531768">
              <w:rPr>
                <w:rFonts w:ascii="Calibri" w:hAnsi="Calibri" w:cs="Calibri"/>
                <w:sz w:val="22"/>
                <w:szCs w:val="22"/>
              </w:rPr>
              <w:t>201</w:t>
            </w:r>
            <w:r w:rsidR="00BF67D9" w:rsidRPr="00531768">
              <w:rPr>
                <w:rFonts w:ascii="Calibri" w:hAnsi="Calibri" w:cs="Calibri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440" w:type="dxa"/>
          </w:tcPr>
          <w:p w:rsidR="00E65557" w:rsidRPr="00531768" w:rsidRDefault="00E65557" w:rsidP="00BF67D9">
            <w:pPr>
              <w:jc w:val="center"/>
              <w:rPr>
                <w:lang w:val="sr-Cyrl-CS"/>
              </w:rPr>
            </w:pPr>
            <w:r w:rsidRPr="00531768">
              <w:rPr>
                <w:rFonts w:ascii="Calibri" w:hAnsi="Calibri" w:cs="Calibri"/>
                <w:sz w:val="22"/>
                <w:szCs w:val="22"/>
              </w:rPr>
              <w:t>201</w:t>
            </w:r>
            <w:r w:rsidR="00BF67D9" w:rsidRPr="00531768">
              <w:rPr>
                <w:rFonts w:ascii="Calibri" w:hAnsi="Calibri" w:cs="Calibri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430" w:type="dxa"/>
          </w:tcPr>
          <w:p w:rsidR="00E65557" w:rsidRPr="00531768" w:rsidRDefault="00E65557" w:rsidP="00BF67D9">
            <w:pPr>
              <w:jc w:val="center"/>
              <w:rPr>
                <w:lang w:val="sr-Cyrl-CS"/>
              </w:rPr>
            </w:pPr>
            <w:r w:rsidRPr="00531768">
              <w:rPr>
                <w:rFonts w:ascii="Calibri" w:hAnsi="Calibri" w:cs="Calibri"/>
                <w:sz w:val="22"/>
                <w:szCs w:val="22"/>
              </w:rPr>
              <w:t>201</w:t>
            </w:r>
            <w:r w:rsidR="00BF67D9" w:rsidRPr="00531768">
              <w:rPr>
                <w:rFonts w:ascii="Calibri" w:hAnsi="Calibri" w:cs="Calibri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1108" w:type="dxa"/>
          </w:tcPr>
          <w:p w:rsidR="00E65557" w:rsidRPr="00531768" w:rsidRDefault="00E65557" w:rsidP="00BF67D9">
            <w:pPr>
              <w:jc w:val="center"/>
              <w:rPr>
                <w:lang w:val="sr-Cyrl-CS"/>
              </w:rPr>
            </w:pPr>
            <w:r w:rsidRPr="00531768">
              <w:rPr>
                <w:rFonts w:ascii="Calibri" w:hAnsi="Calibri" w:cs="Calibri"/>
                <w:sz w:val="22"/>
                <w:szCs w:val="22"/>
              </w:rPr>
              <w:t>201</w:t>
            </w:r>
            <w:r w:rsidR="00BF67D9" w:rsidRPr="00531768">
              <w:rPr>
                <w:rFonts w:ascii="Calibri" w:hAnsi="Calibri" w:cs="Calibri"/>
                <w:sz w:val="22"/>
                <w:szCs w:val="22"/>
                <w:lang w:val="sr-Cyrl-CS"/>
              </w:rPr>
              <w:t>8</w:t>
            </w:r>
          </w:p>
        </w:tc>
      </w:tr>
      <w:tr w:rsidR="00E65557" w:rsidRPr="00531768" w:rsidTr="005E7B40">
        <w:tc>
          <w:tcPr>
            <w:tcW w:w="4428" w:type="dxa"/>
          </w:tcPr>
          <w:p w:rsidR="00E65557" w:rsidRPr="00531768" w:rsidRDefault="00E65557" w:rsidP="006262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Calibri" w:hAnsi="Calibri" w:cs="Calibri"/>
                <w:sz w:val="22"/>
                <w:szCs w:val="22"/>
              </w:rPr>
              <w:t xml:space="preserve">БДП, </w:t>
            </w:r>
            <w:r w:rsidR="00537614" w:rsidRPr="00531768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у мил. </w:t>
            </w:r>
            <w:r w:rsidR="006262F3" w:rsidRPr="00531768">
              <w:rPr>
                <w:rFonts w:ascii="Calibri" w:hAnsi="Calibri" w:cs="Calibri"/>
                <w:sz w:val="22"/>
                <w:szCs w:val="22"/>
                <w:lang w:val="sr-Cyrl-CS"/>
              </w:rPr>
              <w:t>динара – текуће цене</w:t>
            </w:r>
          </w:p>
        </w:tc>
        <w:tc>
          <w:tcPr>
            <w:tcW w:w="1170" w:type="dxa"/>
          </w:tcPr>
          <w:p w:rsidR="00E65557" w:rsidRPr="00531768" w:rsidRDefault="006262F3" w:rsidP="0053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sr-Cyrl-CS"/>
              </w:rPr>
              <w:t>3,970.469</w:t>
            </w:r>
          </w:p>
        </w:tc>
        <w:tc>
          <w:tcPr>
            <w:tcW w:w="1440" w:type="dxa"/>
          </w:tcPr>
          <w:p w:rsidR="00E65557" w:rsidRPr="00531768" w:rsidRDefault="006262F3" w:rsidP="0053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sr-Cyrl-CS"/>
              </w:rPr>
              <w:t>4,195.258</w:t>
            </w:r>
          </w:p>
        </w:tc>
        <w:tc>
          <w:tcPr>
            <w:tcW w:w="1430" w:type="dxa"/>
          </w:tcPr>
          <w:p w:rsidR="00E65557" w:rsidRPr="00531768" w:rsidRDefault="006262F3" w:rsidP="0053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sr-Cyrl-CS"/>
              </w:rPr>
              <w:t>4,454.608</w:t>
            </w:r>
          </w:p>
        </w:tc>
        <w:tc>
          <w:tcPr>
            <w:tcW w:w="1108" w:type="dxa"/>
          </w:tcPr>
          <w:p w:rsidR="00E65557" w:rsidRPr="00531768" w:rsidRDefault="00E65557" w:rsidP="0053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E65557" w:rsidRPr="00531768" w:rsidTr="005E7B40">
        <w:tc>
          <w:tcPr>
            <w:tcW w:w="4428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Calibri" w:hAnsi="Calibri" w:cs="Calibri"/>
                <w:b/>
                <w:sz w:val="22"/>
                <w:szCs w:val="22"/>
              </w:rPr>
              <w:t>Реални раст БДП</w:t>
            </w:r>
          </w:p>
        </w:tc>
        <w:tc>
          <w:tcPr>
            <w:tcW w:w="1170" w:type="dxa"/>
          </w:tcPr>
          <w:p w:rsidR="00E65557" w:rsidRPr="00531768" w:rsidRDefault="006A15CA" w:rsidP="006A15CA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531768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-</w:t>
            </w:r>
            <w:r w:rsidR="00537614" w:rsidRPr="00531768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0</w:t>
            </w:r>
            <w:r w:rsidR="00E65557" w:rsidRPr="00531768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,</w:t>
            </w:r>
            <w:r w:rsidRPr="00531768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440" w:type="dxa"/>
          </w:tcPr>
          <w:p w:rsidR="00E65557" w:rsidRPr="00531768" w:rsidRDefault="00E65557" w:rsidP="00537614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531768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1,</w:t>
            </w:r>
            <w:r w:rsidR="00537614" w:rsidRPr="00531768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430" w:type="dxa"/>
          </w:tcPr>
          <w:p w:rsidR="00E65557" w:rsidRPr="00531768" w:rsidRDefault="00537614" w:rsidP="00537614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531768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2</w:t>
            </w:r>
            <w:r w:rsidR="00E65557" w:rsidRPr="00531768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,</w:t>
            </w:r>
            <w:r w:rsidRPr="00531768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08" w:type="dxa"/>
          </w:tcPr>
          <w:p w:rsidR="00E65557" w:rsidRPr="00531768" w:rsidRDefault="00E65557" w:rsidP="005E7B40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E65557" w:rsidRPr="00531768" w:rsidTr="005E7B40">
        <w:tc>
          <w:tcPr>
            <w:tcW w:w="4428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Calibri" w:hAnsi="Calibri" w:cs="Calibri"/>
                <w:sz w:val="22"/>
                <w:szCs w:val="22"/>
              </w:rPr>
              <w:t>Реални раст појединих компоненти БДП, %</w:t>
            </w:r>
          </w:p>
        </w:tc>
        <w:tc>
          <w:tcPr>
            <w:tcW w:w="1170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430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108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E65557" w:rsidRPr="00531768" w:rsidTr="005E7B40">
        <w:tc>
          <w:tcPr>
            <w:tcW w:w="4428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Calibri" w:hAnsi="Calibri" w:cs="Calibri"/>
                <w:sz w:val="22"/>
                <w:szCs w:val="22"/>
              </w:rPr>
              <w:t>Лична потрошња</w:t>
            </w:r>
          </w:p>
        </w:tc>
        <w:tc>
          <w:tcPr>
            <w:tcW w:w="1170" w:type="dxa"/>
          </w:tcPr>
          <w:p w:rsidR="00E65557" w:rsidRPr="00531768" w:rsidRDefault="006A15CA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  <w:t>-3,0</w:t>
            </w:r>
          </w:p>
        </w:tc>
        <w:tc>
          <w:tcPr>
            <w:tcW w:w="1440" w:type="dxa"/>
          </w:tcPr>
          <w:p w:rsidR="00E65557" w:rsidRPr="00531768" w:rsidRDefault="006A15CA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  <w:t>1,0</w:t>
            </w:r>
          </w:p>
        </w:tc>
        <w:tc>
          <w:tcPr>
            <w:tcW w:w="1430" w:type="dxa"/>
          </w:tcPr>
          <w:p w:rsidR="00E65557" w:rsidRPr="00531768" w:rsidRDefault="006A15CA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  <w:t>1,5</w:t>
            </w:r>
          </w:p>
        </w:tc>
        <w:tc>
          <w:tcPr>
            <w:tcW w:w="1108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E65557" w:rsidRPr="00531768" w:rsidTr="005E7B40">
        <w:tc>
          <w:tcPr>
            <w:tcW w:w="4428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Calibri" w:hAnsi="Calibri" w:cs="Calibri"/>
                <w:sz w:val="22"/>
                <w:szCs w:val="22"/>
              </w:rPr>
              <w:t>Државна потрошња</w:t>
            </w:r>
          </w:p>
        </w:tc>
        <w:tc>
          <w:tcPr>
            <w:tcW w:w="1170" w:type="dxa"/>
          </w:tcPr>
          <w:p w:rsidR="00E65557" w:rsidRPr="00531768" w:rsidRDefault="006A15CA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  <w:t>-7,4</w:t>
            </w:r>
          </w:p>
        </w:tc>
        <w:tc>
          <w:tcPr>
            <w:tcW w:w="1440" w:type="dxa"/>
          </w:tcPr>
          <w:p w:rsidR="00E65557" w:rsidRPr="00531768" w:rsidRDefault="006A15CA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  <w:t>-5,8</w:t>
            </w:r>
          </w:p>
        </w:tc>
        <w:tc>
          <w:tcPr>
            <w:tcW w:w="1430" w:type="dxa"/>
          </w:tcPr>
          <w:p w:rsidR="00E65557" w:rsidRPr="00531768" w:rsidRDefault="006A15CA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  <w:t>-4,0</w:t>
            </w:r>
          </w:p>
        </w:tc>
        <w:tc>
          <w:tcPr>
            <w:tcW w:w="1108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E65557" w:rsidRPr="00531768" w:rsidTr="005E7B40">
        <w:tc>
          <w:tcPr>
            <w:tcW w:w="4428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Calibri" w:hAnsi="Calibri" w:cs="Calibri"/>
                <w:sz w:val="22"/>
                <w:szCs w:val="22"/>
              </w:rPr>
              <w:t>Инвестиције</w:t>
            </w:r>
          </w:p>
        </w:tc>
        <w:tc>
          <w:tcPr>
            <w:tcW w:w="1170" w:type="dxa"/>
          </w:tcPr>
          <w:p w:rsidR="00E65557" w:rsidRPr="00531768" w:rsidRDefault="006A15CA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  <w:t>4,7</w:t>
            </w:r>
          </w:p>
        </w:tc>
        <w:tc>
          <w:tcPr>
            <w:tcW w:w="1440" w:type="dxa"/>
          </w:tcPr>
          <w:p w:rsidR="00E65557" w:rsidRPr="00531768" w:rsidRDefault="006A15CA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  <w:t>5,5</w:t>
            </w:r>
          </w:p>
        </w:tc>
        <w:tc>
          <w:tcPr>
            <w:tcW w:w="1430" w:type="dxa"/>
          </w:tcPr>
          <w:p w:rsidR="00E65557" w:rsidRPr="00531768" w:rsidRDefault="006A15CA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  <w:t>5,5</w:t>
            </w:r>
          </w:p>
        </w:tc>
        <w:tc>
          <w:tcPr>
            <w:tcW w:w="1108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E65557" w:rsidRPr="00531768" w:rsidTr="005E7B40">
        <w:tc>
          <w:tcPr>
            <w:tcW w:w="4428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Calibri" w:hAnsi="Calibri" w:cs="Calibri"/>
                <w:sz w:val="22"/>
                <w:szCs w:val="22"/>
              </w:rPr>
              <w:t>Извоз робе и услуга</w:t>
            </w:r>
          </w:p>
        </w:tc>
        <w:tc>
          <w:tcPr>
            <w:tcW w:w="1170" w:type="dxa"/>
          </w:tcPr>
          <w:p w:rsidR="00E65557" w:rsidRPr="00531768" w:rsidRDefault="006A15CA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  <w:t>3,1</w:t>
            </w:r>
          </w:p>
        </w:tc>
        <w:tc>
          <w:tcPr>
            <w:tcW w:w="1440" w:type="dxa"/>
          </w:tcPr>
          <w:p w:rsidR="00E65557" w:rsidRPr="00531768" w:rsidRDefault="006A15CA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  <w:t>5,0</w:t>
            </w:r>
          </w:p>
        </w:tc>
        <w:tc>
          <w:tcPr>
            <w:tcW w:w="1430" w:type="dxa"/>
          </w:tcPr>
          <w:p w:rsidR="00E65557" w:rsidRPr="00531768" w:rsidRDefault="006A15CA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  <w:t>6,6</w:t>
            </w:r>
          </w:p>
        </w:tc>
        <w:tc>
          <w:tcPr>
            <w:tcW w:w="1108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E65557" w:rsidRPr="00531768" w:rsidTr="005E7B40">
        <w:tc>
          <w:tcPr>
            <w:tcW w:w="4428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Calibri" w:hAnsi="Calibri" w:cs="Calibri"/>
                <w:sz w:val="22"/>
                <w:szCs w:val="22"/>
              </w:rPr>
              <w:t>Увоз робе и услуга</w:t>
            </w:r>
          </w:p>
        </w:tc>
        <w:tc>
          <w:tcPr>
            <w:tcW w:w="1170" w:type="dxa"/>
          </w:tcPr>
          <w:p w:rsidR="00E65557" w:rsidRPr="00531768" w:rsidRDefault="006A15CA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  <w:t>-1,5</w:t>
            </w:r>
          </w:p>
        </w:tc>
        <w:tc>
          <w:tcPr>
            <w:tcW w:w="1440" w:type="dxa"/>
          </w:tcPr>
          <w:p w:rsidR="00E65557" w:rsidRPr="00531768" w:rsidRDefault="006A15CA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  <w:t>2,9</w:t>
            </w:r>
          </w:p>
        </w:tc>
        <w:tc>
          <w:tcPr>
            <w:tcW w:w="1430" w:type="dxa"/>
          </w:tcPr>
          <w:p w:rsidR="00E65557" w:rsidRPr="00531768" w:rsidRDefault="006A15CA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  <w:t>4,6</w:t>
            </w:r>
          </w:p>
        </w:tc>
        <w:tc>
          <w:tcPr>
            <w:tcW w:w="1108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E65557" w:rsidRPr="00531768" w:rsidTr="005E7B40">
        <w:tc>
          <w:tcPr>
            <w:tcW w:w="4428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Calibri" w:hAnsi="Calibri" w:cs="Calibri"/>
                <w:sz w:val="22"/>
                <w:szCs w:val="22"/>
              </w:rPr>
              <w:t>Салдо робе и услуга, у ЕУР, % БДП</w:t>
            </w:r>
          </w:p>
        </w:tc>
        <w:tc>
          <w:tcPr>
            <w:tcW w:w="1170" w:type="dxa"/>
          </w:tcPr>
          <w:p w:rsidR="00E65557" w:rsidRPr="00531768" w:rsidRDefault="006A15CA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  <w:t>-9,4</w:t>
            </w:r>
          </w:p>
        </w:tc>
        <w:tc>
          <w:tcPr>
            <w:tcW w:w="1440" w:type="dxa"/>
          </w:tcPr>
          <w:p w:rsidR="00E65557" w:rsidRPr="00531768" w:rsidRDefault="006A15CA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  <w:t>-8,5</w:t>
            </w:r>
          </w:p>
        </w:tc>
        <w:tc>
          <w:tcPr>
            <w:tcW w:w="1430" w:type="dxa"/>
          </w:tcPr>
          <w:p w:rsidR="00E65557" w:rsidRPr="00531768" w:rsidRDefault="006A15CA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  <w:t>-7,6</w:t>
            </w:r>
          </w:p>
        </w:tc>
        <w:tc>
          <w:tcPr>
            <w:tcW w:w="1108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E65557" w:rsidRPr="00531768" w:rsidTr="005E7B40">
        <w:tc>
          <w:tcPr>
            <w:tcW w:w="4428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Calibri" w:hAnsi="Calibri" w:cs="Calibri"/>
                <w:b/>
                <w:sz w:val="22"/>
                <w:szCs w:val="22"/>
              </w:rPr>
              <w:t>Инфлација, крај периода, у %</w:t>
            </w:r>
          </w:p>
        </w:tc>
        <w:tc>
          <w:tcPr>
            <w:tcW w:w="1170" w:type="dxa"/>
          </w:tcPr>
          <w:p w:rsidR="00E65557" w:rsidRPr="00531768" w:rsidRDefault="00537614" w:rsidP="006A1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sr-Cyrl-CS"/>
              </w:rPr>
              <w:t>4,</w:t>
            </w:r>
            <w:r w:rsidR="006A15CA" w:rsidRPr="0053176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40" w:type="dxa"/>
          </w:tcPr>
          <w:p w:rsidR="00E65557" w:rsidRPr="00531768" w:rsidRDefault="006A15CA" w:rsidP="006A1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sr-Cyrl-CS"/>
              </w:rPr>
              <w:t>4</w:t>
            </w:r>
            <w:r w:rsidR="00E65557" w:rsidRPr="0053176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sr-Cyrl-CS"/>
              </w:rPr>
              <w:t>,</w:t>
            </w:r>
            <w:r w:rsidRPr="0053176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30" w:type="dxa"/>
          </w:tcPr>
          <w:p w:rsidR="00E65557" w:rsidRPr="00531768" w:rsidRDefault="00537614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sr-Cyrl-CS"/>
              </w:rPr>
              <w:t>4,</w:t>
            </w:r>
            <w:r w:rsidR="006A15CA" w:rsidRPr="0053176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08" w:type="dxa"/>
          </w:tcPr>
          <w:p w:rsidR="00E65557" w:rsidRPr="00531768" w:rsidRDefault="00E65557" w:rsidP="0053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E65557" w:rsidRPr="00531768" w:rsidTr="005E7B40">
        <w:tc>
          <w:tcPr>
            <w:tcW w:w="4428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Calibri" w:hAnsi="Calibri" w:cs="Calibri"/>
                <w:sz w:val="22"/>
                <w:szCs w:val="22"/>
              </w:rPr>
              <w:t>Инвестициони рацио, % БДП</w:t>
            </w:r>
          </w:p>
        </w:tc>
        <w:tc>
          <w:tcPr>
            <w:tcW w:w="1170" w:type="dxa"/>
          </w:tcPr>
          <w:p w:rsidR="00E65557" w:rsidRPr="00531768" w:rsidRDefault="006A15CA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  <w:t>18,5</w:t>
            </w:r>
          </w:p>
        </w:tc>
        <w:tc>
          <w:tcPr>
            <w:tcW w:w="1440" w:type="dxa"/>
          </w:tcPr>
          <w:p w:rsidR="00E65557" w:rsidRPr="00531768" w:rsidRDefault="006A15CA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  <w:t>19,3</w:t>
            </w:r>
          </w:p>
        </w:tc>
        <w:tc>
          <w:tcPr>
            <w:tcW w:w="1430" w:type="dxa"/>
          </w:tcPr>
          <w:p w:rsidR="00E65557" w:rsidRPr="00531768" w:rsidRDefault="006A15CA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  <w:t>19,8</w:t>
            </w:r>
          </w:p>
        </w:tc>
        <w:tc>
          <w:tcPr>
            <w:tcW w:w="1108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r-Cyrl-CS"/>
              </w:rPr>
            </w:pPr>
          </w:p>
        </w:tc>
      </w:tr>
    </w:tbl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2"/>
          <w:szCs w:val="22"/>
          <w:lang w:val="sr-Cyrl-CS"/>
        </w:rPr>
      </w:pP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31768">
        <w:rPr>
          <w:rFonts w:ascii="Times New Roman" w:hAnsi="Times New Roman" w:cs="Times New Roman"/>
          <w:b/>
          <w:bCs/>
        </w:rPr>
        <w:t>Извор: Фискална стратегија за 201</w:t>
      </w:r>
      <w:r w:rsidR="006262F3" w:rsidRPr="00531768">
        <w:rPr>
          <w:rFonts w:ascii="Times New Roman" w:hAnsi="Times New Roman" w:cs="Times New Roman"/>
          <w:b/>
          <w:bCs/>
          <w:lang w:val="sr-Cyrl-CS"/>
        </w:rPr>
        <w:t>5</w:t>
      </w:r>
      <w:r w:rsidRPr="00531768">
        <w:rPr>
          <w:rFonts w:ascii="Times New Roman" w:hAnsi="Times New Roman" w:cs="Times New Roman"/>
          <w:b/>
          <w:bCs/>
        </w:rPr>
        <w:t xml:space="preserve">. </w:t>
      </w:r>
      <w:proofErr w:type="gramStart"/>
      <w:r w:rsidRPr="00531768">
        <w:rPr>
          <w:rFonts w:ascii="Times New Roman" w:hAnsi="Times New Roman" w:cs="Times New Roman"/>
          <w:b/>
          <w:bCs/>
        </w:rPr>
        <w:t>са</w:t>
      </w:r>
      <w:proofErr w:type="gramEnd"/>
      <w:r w:rsidRPr="00531768">
        <w:rPr>
          <w:rFonts w:ascii="Times New Roman" w:hAnsi="Times New Roman" w:cs="Times New Roman"/>
          <w:b/>
          <w:bCs/>
        </w:rPr>
        <w:t xml:space="preserve"> пројекцијама за 201</w:t>
      </w:r>
      <w:r w:rsidR="006262F3" w:rsidRPr="00531768">
        <w:rPr>
          <w:rFonts w:ascii="Times New Roman" w:hAnsi="Times New Roman" w:cs="Times New Roman"/>
          <w:b/>
          <w:bCs/>
          <w:lang w:val="sr-Cyrl-CS"/>
        </w:rPr>
        <w:t>6</w:t>
      </w:r>
      <w:r w:rsidRPr="00531768">
        <w:rPr>
          <w:rFonts w:ascii="Times New Roman" w:hAnsi="Times New Roman" w:cs="Times New Roman"/>
          <w:b/>
          <w:bCs/>
        </w:rPr>
        <w:t xml:space="preserve">. </w:t>
      </w:r>
      <w:proofErr w:type="gramStart"/>
      <w:r w:rsidRPr="00531768">
        <w:rPr>
          <w:rFonts w:ascii="Times New Roman" w:hAnsi="Times New Roman" w:cs="Times New Roman"/>
          <w:b/>
          <w:bCs/>
        </w:rPr>
        <w:t>и</w:t>
      </w:r>
      <w:proofErr w:type="gramEnd"/>
      <w:r w:rsidRPr="00531768">
        <w:rPr>
          <w:rFonts w:ascii="Times New Roman" w:hAnsi="Times New Roman" w:cs="Times New Roman"/>
          <w:b/>
          <w:bCs/>
        </w:rPr>
        <w:t xml:space="preserve"> 201</w:t>
      </w:r>
      <w:r w:rsidR="006262F3" w:rsidRPr="00531768">
        <w:rPr>
          <w:rFonts w:ascii="Times New Roman" w:hAnsi="Times New Roman" w:cs="Times New Roman"/>
          <w:b/>
          <w:bCs/>
          <w:lang w:val="sr-Cyrl-CS"/>
        </w:rPr>
        <w:t>7</w:t>
      </w:r>
      <w:r w:rsidRPr="00531768">
        <w:rPr>
          <w:rFonts w:ascii="Times New Roman" w:hAnsi="Times New Roman" w:cs="Times New Roman"/>
          <w:b/>
          <w:bCs/>
        </w:rPr>
        <w:t xml:space="preserve">. </w:t>
      </w:r>
      <w:proofErr w:type="gramStart"/>
      <w:r w:rsidRPr="00531768">
        <w:rPr>
          <w:rFonts w:ascii="Times New Roman" w:hAnsi="Times New Roman" w:cs="Times New Roman"/>
          <w:b/>
          <w:bCs/>
        </w:rPr>
        <w:t>годину</w:t>
      </w:r>
      <w:proofErr w:type="gramEnd"/>
      <w:r w:rsidRPr="00531768">
        <w:rPr>
          <w:rFonts w:ascii="Times New Roman" w:hAnsi="Times New Roman" w:cs="Times New Roman"/>
          <w:b/>
          <w:bCs/>
        </w:rPr>
        <w:t xml:space="preserve"> - МФИН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31768">
        <w:rPr>
          <w:rFonts w:ascii="Times New Roman" w:hAnsi="Times New Roman" w:cs="Times New Roman"/>
          <w:b/>
          <w:bCs/>
          <w:sz w:val="22"/>
          <w:szCs w:val="22"/>
        </w:rPr>
        <w:t>НАПОМЕНА: Обзиром да се доношење Фискалне стратегије и Упутства за припрему</w:t>
      </w:r>
      <w:r w:rsidRPr="0053176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/>
          <w:bCs/>
          <w:sz w:val="22"/>
          <w:szCs w:val="22"/>
        </w:rPr>
        <w:t>буџета локалне власти за 201</w:t>
      </w:r>
      <w:r w:rsidR="006A15CA" w:rsidRPr="0053176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6</w:t>
      </w:r>
      <w:r w:rsidRPr="00531768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proofErr w:type="gramStart"/>
      <w:r w:rsidRPr="00531768">
        <w:rPr>
          <w:rFonts w:ascii="Times New Roman" w:hAnsi="Times New Roman" w:cs="Times New Roman"/>
          <w:b/>
          <w:bCs/>
          <w:sz w:val="22"/>
          <w:szCs w:val="22"/>
        </w:rPr>
        <w:t>и</w:t>
      </w:r>
      <w:proofErr w:type="gramEnd"/>
      <w:r w:rsidRPr="00531768">
        <w:rPr>
          <w:rFonts w:ascii="Times New Roman" w:hAnsi="Times New Roman" w:cs="Times New Roman"/>
          <w:b/>
          <w:bCs/>
          <w:sz w:val="22"/>
          <w:szCs w:val="22"/>
        </w:rPr>
        <w:t xml:space="preserve"> наредне две године очекује у наредном периоду, уколико се</w:t>
      </w:r>
      <w:r w:rsidRPr="0053176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/>
          <w:bCs/>
          <w:sz w:val="22"/>
          <w:szCs w:val="22"/>
        </w:rPr>
        <w:t>догоди да дође до одступања у величинама наведених параметара, у даљем поступку</w:t>
      </w:r>
      <w:r w:rsidRPr="0053176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/>
          <w:bCs/>
          <w:sz w:val="22"/>
          <w:szCs w:val="22"/>
        </w:rPr>
        <w:t>припреме буџета наведене пројекције макроекономских показатеља биће усаглашене. У</w:t>
      </w:r>
      <w:r w:rsidRPr="0053176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/>
          <w:bCs/>
          <w:sz w:val="22"/>
          <w:szCs w:val="22"/>
        </w:rPr>
        <w:t xml:space="preserve">складу са </w:t>
      </w:r>
      <w:r w:rsidRPr="00531768">
        <w:rPr>
          <w:rFonts w:ascii="Times New Roman" w:hAnsi="Times New Roman" w:cs="Times New Roman"/>
          <w:b/>
          <w:bCs/>
          <w:sz w:val="22"/>
          <w:szCs w:val="22"/>
        </w:rPr>
        <w:lastRenderedPageBreak/>
        <w:t>истим, корисници буџетских средстава биће благовремено обавештени како би</w:t>
      </w:r>
      <w:r w:rsidRPr="0053176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/>
          <w:bCs/>
          <w:sz w:val="22"/>
          <w:szCs w:val="22"/>
        </w:rPr>
        <w:t>извршили неопходне корекције у предлозима финансијских планова за 201</w:t>
      </w:r>
      <w:r w:rsidR="006A15CA" w:rsidRPr="0053176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6</w:t>
      </w:r>
      <w:r w:rsidRPr="00531768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proofErr w:type="gramStart"/>
      <w:r w:rsidRPr="00531768">
        <w:rPr>
          <w:rFonts w:ascii="Times New Roman" w:hAnsi="Times New Roman" w:cs="Times New Roman"/>
          <w:b/>
          <w:bCs/>
          <w:sz w:val="22"/>
          <w:szCs w:val="22"/>
        </w:rPr>
        <w:t>и</w:t>
      </w:r>
      <w:proofErr w:type="gramEnd"/>
      <w:r w:rsidRPr="00531768">
        <w:rPr>
          <w:rFonts w:ascii="Times New Roman" w:hAnsi="Times New Roman" w:cs="Times New Roman"/>
          <w:b/>
          <w:bCs/>
          <w:sz w:val="22"/>
          <w:szCs w:val="22"/>
        </w:rPr>
        <w:t xml:space="preserve"> наредне две</w:t>
      </w:r>
      <w:r w:rsidRPr="0053176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/>
          <w:bCs/>
          <w:sz w:val="22"/>
          <w:szCs w:val="22"/>
        </w:rPr>
        <w:t>године.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E65557" w:rsidRPr="00531768" w:rsidRDefault="00E65557" w:rsidP="00E655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  <w:r w:rsidRPr="00531768">
        <w:rPr>
          <w:rFonts w:ascii="Times New Roman" w:hAnsi="Times New Roman" w:cs="Times New Roman"/>
          <w:b/>
          <w:bCs/>
          <w:sz w:val="22"/>
          <w:szCs w:val="22"/>
        </w:rPr>
        <w:t xml:space="preserve"> ОПИС ПЛАНИРАНЕ ПОЛИТИКЕ </w:t>
      </w:r>
      <w:r w:rsidRPr="0053176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ОПШТИНЕ</w:t>
      </w:r>
      <w:r w:rsidRPr="00531768">
        <w:rPr>
          <w:rFonts w:ascii="Times New Roman" w:hAnsi="Times New Roman" w:cs="Times New Roman"/>
          <w:b/>
          <w:bCs/>
          <w:sz w:val="22"/>
          <w:szCs w:val="22"/>
        </w:rPr>
        <w:t xml:space="preserve"> ЗА ПЕРИОД 201</w:t>
      </w:r>
      <w:r w:rsidR="0041043B" w:rsidRPr="0053176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6</w:t>
      </w:r>
      <w:r w:rsidRPr="00531768">
        <w:rPr>
          <w:rFonts w:ascii="Times New Roman" w:hAnsi="Times New Roman" w:cs="Times New Roman"/>
          <w:b/>
          <w:bCs/>
          <w:sz w:val="22"/>
          <w:szCs w:val="22"/>
        </w:rPr>
        <w:t>-201</w:t>
      </w:r>
      <w:r w:rsidR="0041043B" w:rsidRPr="0053176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8</w:t>
      </w:r>
      <w:r w:rsidRPr="00531768">
        <w:rPr>
          <w:rFonts w:ascii="Times New Roman" w:hAnsi="Times New Roman" w:cs="Times New Roman"/>
          <w:b/>
          <w:bCs/>
          <w:sz w:val="22"/>
          <w:szCs w:val="22"/>
        </w:rPr>
        <w:t>. ГОДИНЕ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E65557" w:rsidRPr="00531768" w:rsidRDefault="00E65557" w:rsidP="00C72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У периоду од 201</w:t>
      </w:r>
      <w:r w:rsidR="0041043B"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531768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до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41043B"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8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године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Општина Владичин Хан 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 ће обављати изворне, поверене и</w:t>
      </w:r>
    </w:p>
    <w:p w:rsidR="00E65557" w:rsidRPr="00531768" w:rsidRDefault="00A013B2" w:rsidP="00C72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п</w:t>
      </w:r>
      <w:r w:rsidR="00E65557" w:rsidRPr="00531768">
        <w:rPr>
          <w:rFonts w:ascii="Times New Roman" w:hAnsi="Times New Roman" w:cs="Times New Roman"/>
          <w:bCs/>
          <w:sz w:val="22"/>
          <w:szCs w:val="22"/>
        </w:rPr>
        <w:t>ренесене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="00E65557" w:rsidRPr="00531768">
        <w:rPr>
          <w:rFonts w:ascii="Times New Roman" w:hAnsi="Times New Roman" w:cs="Times New Roman"/>
          <w:bCs/>
          <w:sz w:val="22"/>
          <w:szCs w:val="22"/>
        </w:rPr>
        <w:t xml:space="preserve"> надлежности у складу са Уставом Републике Србије и Законом о локалној</w:t>
      </w:r>
      <w:r w:rsidR="00E65557"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="00E65557" w:rsidRPr="00531768">
        <w:rPr>
          <w:rFonts w:ascii="Times New Roman" w:hAnsi="Times New Roman" w:cs="Times New Roman"/>
          <w:bCs/>
          <w:sz w:val="22"/>
          <w:szCs w:val="22"/>
        </w:rPr>
        <w:t>самоуправи, као и другим законским и подзаконским актима којим се регулише ова област.</w:t>
      </w:r>
    </w:p>
    <w:p w:rsidR="00E65557" w:rsidRPr="00531768" w:rsidRDefault="00E65557" w:rsidP="00C72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2"/>
          <w:szCs w:val="22"/>
        </w:rPr>
        <w:t xml:space="preserve">Сходно наведеном, активности 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Општине Владичин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Хан 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 у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A013B2"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и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наредне две фискалне године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биће усмерене на следеће послове:</w:t>
      </w:r>
    </w:p>
    <w:p w:rsidR="00E65557" w:rsidRPr="00531768" w:rsidRDefault="00E65557" w:rsidP="00C72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2"/>
          <w:szCs w:val="22"/>
        </w:rPr>
        <w:t>-урбанизам и просторно планирање,</w:t>
      </w:r>
    </w:p>
    <w:p w:rsidR="00E65557" w:rsidRPr="00531768" w:rsidRDefault="00E65557" w:rsidP="00C72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2"/>
          <w:szCs w:val="22"/>
        </w:rPr>
        <w:t>-одржавање и ширење комуналних услуга (водоснабдевање, прикупљање и одношење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смећа, управљање отпадним водама, јавна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хигијена, уређење и одржавање зеленила, јавна расвета, саобраћајна инфраструктура и остале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комуналне услуге),</w:t>
      </w:r>
    </w:p>
    <w:p w:rsidR="00E65557" w:rsidRPr="00531768" w:rsidRDefault="00E65557" w:rsidP="00C72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2"/>
          <w:szCs w:val="22"/>
        </w:rPr>
        <w:t xml:space="preserve">-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вођење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економске и развојне политике,</w:t>
      </w:r>
    </w:p>
    <w:p w:rsidR="00E65557" w:rsidRPr="00531768" w:rsidRDefault="00E65557" w:rsidP="00C72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2"/>
          <w:szCs w:val="22"/>
        </w:rPr>
        <w:t xml:space="preserve">-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пољопривреда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и рурални развој,</w:t>
      </w:r>
    </w:p>
    <w:p w:rsidR="00E65557" w:rsidRPr="00531768" w:rsidRDefault="00E65557" w:rsidP="00C72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2"/>
          <w:szCs w:val="22"/>
        </w:rPr>
        <w:t xml:space="preserve">-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заштита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животне средине,</w:t>
      </w:r>
    </w:p>
    <w:p w:rsidR="00E65557" w:rsidRPr="00531768" w:rsidRDefault="00E65557" w:rsidP="00C72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768">
        <w:rPr>
          <w:rFonts w:ascii="Times New Roman" w:hAnsi="Times New Roman" w:cs="Times New Roman"/>
          <w:bCs/>
          <w:sz w:val="22"/>
          <w:szCs w:val="22"/>
        </w:rPr>
        <w:t xml:space="preserve">-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обезбеђивање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услова за </w:t>
      </w:r>
      <w:r w:rsidRPr="00531768">
        <w:rPr>
          <w:rFonts w:ascii="Times New Roman" w:hAnsi="Times New Roman" w:cs="Times New Roman"/>
          <w:bCs/>
          <w:sz w:val="24"/>
          <w:szCs w:val="24"/>
        </w:rPr>
        <w:t>рад локалних установа у култури,</w:t>
      </w:r>
    </w:p>
    <w:p w:rsidR="00E65557" w:rsidRPr="00531768" w:rsidRDefault="00E65557" w:rsidP="00C72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768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организација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културних и спортских активности и манифестација</w:t>
      </w:r>
      <w:r w:rsidRPr="00531768">
        <w:rPr>
          <w:rFonts w:ascii="Times New Roman" w:hAnsi="Times New Roman" w:cs="Times New Roman"/>
          <w:bCs/>
          <w:sz w:val="24"/>
          <w:szCs w:val="24"/>
        </w:rPr>
        <w:t>,</w:t>
      </w:r>
    </w:p>
    <w:p w:rsidR="00E65557" w:rsidRPr="00531768" w:rsidRDefault="00E65557" w:rsidP="00C72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опорезивање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>, финансијско управљање и буџетирање,</w:t>
      </w:r>
    </w:p>
    <w:p w:rsidR="00E65557" w:rsidRPr="00531768" w:rsidRDefault="00E65557" w:rsidP="00C72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  <w:r w:rsidRPr="00531768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пружање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осталих услуга грађанима у складу са Законом.</w:t>
      </w:r>
    </w:p>
    <w:p w:rsidR="00E65557" w:rsidRPr="00531768" w:rsidRDefault="00E65557" w:rsidP="00C72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</w:p>
    <w:p w:rsidR="00E65557" w:rsidRPr="00531768" w:rsidRDefault="00E65557" w:rsidP="00C72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Општина Владичин Хан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 ће обављати поверене и пренесене послове из области:</w:t>
      </w:r>
    </w:p>
    <w:p w:rsidR="00E65557" w:rsidRPr="00531768" w:rsidRDefault="00E65557" w:rsidP="00C72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2"/>
          <w:szCs w:val="22"/>
        </w:rPr>
        <w:t xml:space="preserve">-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државне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управе,</w:t>
      </w:r>
    </w:p>
    <w:p w:rsidR="00E65557" w:rsidRPr="00531768" w:rsidRDefault="00E65557" w:rsidP="00C72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2"/>
          <w:szCs w:val="22"/>
        </w:rPr>
        <w:t xml:space="preserve">-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социјалне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заштите,</w:t>
      </w:r>
    </w:p>
    <w:p w:rsidR="00E65557" w:rsidRPr="00531768" w:rsidRDefault="00E65557" w:rsidP="00C72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2"/>
          <w:szCs w:val="22"/>
        </w:rPr>
        <w:t xml:space="preserve">-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здравствене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заштите,</w:t>
      </w:r>
    </w:p>
    <w:p w:rsidR="00E65557" w:rsidRPr="00531768" w:rsidRDefault="00E65557" w:rsidP="00C72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2"/>
          <w:szCs w:val="22"/>
        </w:rPr>
        <w:t xml:space="preserve">-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предшколског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>, основног и средњег образовања,</w:t>
      </w:r>
    </w:p>
    <w:p w:rsidR="00E65557" w:rsidRPr="00531768" w:rsidRDefault="00E65557" w:rsidP="00C72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2"/>
          <w:szCs w:val="22"/>
        </w:rPr>
        <w:t xml:space="preserve">-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екологије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и очувања животне средине,</w:t>
      </w:r>
    </w:p>
    <w:p w:rsidR="00E65557" w:rsidRPr="00531768" w:rsidRDefault="00E65557" w:rsidP="00C72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  <w:r w:rsidRPr="00531768">
        <w:rPr>
          <w:rFonts w:ascii="Times New Roman" w:hAnsi="Times New Roman" w:cs="Times New Roman"/>
          <w:bCs/>
          <w:sz w:val="22"/>
          <w:szCs w:val="22"/>
        </w:rPr>
        <w:t xml:space="preserve">-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рада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инспекцијских служби и др.</w:t>
      </w:r>
    </w:p>
    <w:p w:rsidR="00E65557" w:rsidRPr="00531768" w:rsidRDefault="00E65557" w:rsidP="00C72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</w:p>
    <w:p w:rsidR="00E65557" w:rsidRPr="00531768" w:rsidRDefault="00E65557" w:rsidP="00C72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Извршавање свих законских обавеза и задатака који се односе на локалну управу,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ефикасније коришћење расположивих финансијских ресурса у циљу задовољавања потреба грађана, основа су буџетске политике 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Општине</w:t>
      </w:r>
      <w:r w:rsidRPr="00531768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</w:p>
    <w:p w:rsidR="00E65557" w:rsidRPr="00531768" w:rsidRDefault="00E65557" w:rsidP="00C72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Такође, у наредној години потребно је предузети активности које ће бити усмерене ка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повећању непореских прихода (нарочито прихода буџетских корисника 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Општине</w:t>
      </w:r>
      <w:r w:rsidRPr="00531768">
        <w:rPr>
          <w:rFonts w:ascii="Times New Roman" w:hAnsi="Times New Roman" w:cs="Times New Roman"/>
          <w:bCs/>
          <w:sz w:val="22"/>
          <w:szCs w:val="22"/>
        </w:rPr>
        <w:t>), као и на редуковању административне потрошње свих корисника буџета, што је у складу са мерама штедње.</w:t>
      </w:r>
      <w:proofErr w:type="gramEnd"/>
    </w:p>
    <w:p w:rsidR="00E65557" w:rsidRPr="00531768" w:rsidRDefault="00E65557" w:rsidP="00C72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  <w:r w:rsidRPr="00531768">
        <w:rPr>
          <w:rFonts w:ascii="Times New Roman" w:hAnsi="Times New Roman" w:cs="Times New Roman"/>
          <w:bCs/>
          <w:sz w:val="22"/>
          <w:szCs w:val="22"/>
        </w:rPr>
        <w:t>Опредељење је да се у наредној години расположива средства искористе првенствено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за  улагањ</w:t>
      </w:r>
      <w:r w:rsidR="00B72901"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а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у запошљавање и унапређење привреде и образовања</w:t>
      </w:r>
      <w:r w:rsidR="00B72901"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као и </w:t>
      </w:r>
      <w:r w:rsidR="00B72901" w:rsidRPr="00531768">
        <w:rPr>
          <w:rFonts w:ascii="Times New Roman" w:hAnsi="Times New Roman" w:cs="Times New Roman"/>
          <w:bCs/>
          <w:sz w:val="22"/>
          <w:szCs w:val="22"/>
        </w:rPr>
        <w:t>финансирање социјалне заштите</w:t>
      </w:r>
      <w:r w:rsidRPr="00531768">
        <w:rPr>
          <w:rFonts w:ascii="Times New Roman" w:hAnsi="Times New Roman" w:cs="Times New Roman"/>
          <w:bCs/>
          <w:sz w:val="22"/>
          <w:szCs w:val="22"/>
        </w:rPr>
        <w:t>. Такође, предвиђено је улагање у саобраћајну и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комуналну инфраструктуру, са акцентом на текуће и инвестиционо одржавање инфраструктуре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и завршетак капиталних пројеката из раније одобрених средстава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буџета 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.</w:t>
      </w:r>
      <w:proofErr w:type="gramEnd"/>
    </w:p>
    <w:p w:rsidR="00E65557" w:rsidRPr="00531768" w:rsidRDefault="00E65557" w:rsidP="00C72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</w:p>
    <w:p w:rsidR="00E65557" w:rsidRPr="00531768" w:rsidRDefault="00E65557" w:rsidP="00C72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У складу са доспелим обавезама по анутетима за одобрено кредитно задужење, у 201</w:t>
      </w:r>
      <w:r w:rsidR="00573C78"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531768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години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вршиће се уредно сервисирање поменутих обавеза, при чему није предвиђено ново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задуживање.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У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поступку усвајања буџета 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Општине </w:t>
      </w:r>
      <w:r w:rsidRPr="00531768">
        <w:rPr>
          <w:rFonts w:ascii="Times New Roman" w:hAnsi="Times New Roman" w:cs="Times New Roman"/>
          <w:bCs/>
          <w:sz w:val="22"/>
          <w:szCs w:val="22"/>
        </w:rPr>
        <w:t>за наредну годину, опредељење је да се кроз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комуникацију са јавношћу дође до што квалитетнијег буџетског документа, у циљу већег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учешћа јавности у одређивању приоритета у буџетској потрошњи.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lastRenderedPageBreak/>
        <w:t>Успостављањем и унапређењем планирања и расподеле средстава по програмском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моделу, створиће се основ за обезбеђивање веће ефикасности и конкурентности привреде као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и делотворност јавне потрошње.</w:t>
      </w:r>
      <w:proofErr w:type="gramEnd"/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Само унапређење буџетских процеса део је шире реформе управљања јавним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финансијама, која ставља акценат на утврђивање приоритета и оптимизацију потрошње у циљу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подстицања привредног раста и ефикасног пружања квалитетних услуга јавне управе.</w:t>
      </w:r>
      <w:proofErr w:type="gramEnd"/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Од корисника буџета 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Општине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очекује се да поштују политику 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Општине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за наредну годину и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придржавају се ограничења везаних за буџетску потрошњу у наредној години.</w:t>
      </w:r>
      <w:proofErr w:type="gramEnd"/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Са аспекта финансијског менаџмента, активности у политици јавних прихода и расхода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буџета 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Општине Владичин Хан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 у 201</w:t>
      </w:r>
      <w:r w:rsidR="00573C78"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531768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и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наредне две фискалне године биће усмерене ка следећим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принципима: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2"/>
          <w:szCs w:val="22"/>
        </w:rPr>
        <w:t xml:space="preserve">-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вођење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фискалне политике усклађене са принципима фискалне одговорности и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фискалним правилима која се односе на фискални дефицит и јавни дуг утврђеним Законом о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буџетском систему;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2"/>
          <w:szCs w:val="22"/>
        </w:rPr>
        <w:t xml:space="preserve">-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чврста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контрола плата у јавном сектору у складу са утврђеним фискалним правилима;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2"/>
          <w:szCs w:val="22"/>
        </w:rPr>
        <w:t xml:space="preserve">-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повећање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финансијске дисциплине буџетских корисника;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2"/>
          <w:szCs w:val="22"/>
        </w:rPr>
        <w:t>-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замрзавање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текућих расхода уз истовремено веће издвајање за капиталне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инвестиционе расходе, који ће подржати привредни раст и укупан развој;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2"/>
          <w:szCs w:val="22"/>
        </w:rPr>
        <w:t xml:space="preserve">-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наставак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процеса рационалније потрошње код свих буџетских корисника;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2"/>
          <w:szCs w:val="22"/>
        </w:rPr>
        <w:t xml:space="preserve">-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финансирање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капиталних пројеката дефинисаних развојним (стратешким и планским)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документима које је усвојила Скупштина 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Општине</w:t>
      </w:r>
      <w:r w:rsidRPr="00531768">
        <w:rPr>
          <w:rFonts w:ascii="Times New Roman" w:hAnsi="Times New Roman" w:cs="Times New Roman"/>
          <w:bCs/>
          <w:sz w:val="22"/>
          <w:szCs w:val="22"/>
        </w:rPr>
        <w:t>;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2"/>
          <w:szCs w:val="22"/>
        </w:rPr>
        <w:t>- наставак активности у сагледавању прихода, који остварују буџетски корисници и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јавна предузећа као „сопствене приходе“, а реч је о јавним приходима који се морају укључити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као буџетски приход консолидованог рачуна трезора;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2"/>
          <w:szCs w:val="22"/>
        </w:rPr>
        <w:t xml:space="preserve">-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контрола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пословања у јавним предузећима, чији је оснивач 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Општина</w:t>
      </w:r>
      <w:r w:rsidRPr="00531768">
        <w:rPr>
          <w:rFonts w:ascii="Times New Roman" w:hAnsi="Times New Roman" w:cs="Times New Roman"/>
          <w:bCs/>
          <w:sz w:val="22"/>
          <w:szCs w:val="22"/>
        </w:rPr>
        <w:t>;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2"/>
          <w:szCs w:val="22"/>
        </w:rPr>
        <w:t xml:space="preserve">-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инсистирање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на изради и доношењу реалних планова и програма развоја јавних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предузећа, као и 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смањењу 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 субвенционисања из буџета 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Општине</w:t>
      </w:r>
      <w:r w:rsidRPr="00531768">
        <w:rPr>
          <w:rFonts w:ascii="Times New Roman" w:hAnsi="Times New Roman" w:cs="Times New Roman"/>
          <w:bCs/>
          <w:sz w:val="22"/>
          <w:szCs w:val="22"/>
        </w:rPr>
        <w:t>;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2"/>
          <w:szCs w:val="22"/>
        </w:rPr>
        <w:t xml:space="preserve">-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наставак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започетих активности из претходне године на реализацији основних циљева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у политици локалних јавних прихода и расхода;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2"/>
          <w:szCs w:val="22"/>
        </w:rPr>
        <w:t xml:space="preserve">-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наставак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активности локалне пореске администрације на реалном обухвату и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ефикаснијој наплати припадајућих изворних прихода 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Општине</w:t>
      </w:r>
      <w:r w:rsidRPr="00531768">
        <w:rPr>
          <w:rFonts w:ascii="Times New Roman" w:hAnsi="Times New Roman" w:cs="Times New Roman"/>
          <w:bCs/>
          <w:sz w:val="22"/>
          <w:szCs w:val="22"/>
        </w:rPr>
        <w:t>;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31768">
        <w:rPr>
          <w:rFonts w:ascii="Times New Roman" w:hAnsi="Times New Roman" w:cs="Times New Roman"/>
          <w:bCs/>
          <w:sz w:val="22"/>
          <w:szCs w:val="22"/>
        </w:rPr>
        <w:t xml:space="preserve">-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унапређење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процеса управљања расходима, кроз јачање планске функције буџетских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корисника у сагледавању и изради финансијских планова.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Кретање расхода у 201</w:t>
      </w:r>
      <w:r w:rsidR="00573C78"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531768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години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биће усмерено </w:t>
      </w:r>
      <w:r w:rsidR="00573C78"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н</w:t>
      </w:r>
      <w:r w:rsidRPr="00531768">
        <w:rPr>
          <w:rFonts w:ascii="Times New Roman" w:hAnsi="Times New Roman" w:cs="Times New Roman"/>
          <w:bCs/>
          <w:sz w:val="22"/>
          <w:szCs w:val="22"/>
        </w:rPr>
        <w:t>а смањење учешћа јавне потрошње, вршиће се исплата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неизмирених обавеза, отплата рате за кредит, а остатак средстава усмериће се за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инвестициона улагања.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</w:p>
    <w:p w:rsidR="00E65557" w:rsidRPr="00531768" w:rsidRDefault="00E65557" w:rsidP="00E655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  <w:r w:rsidRPr="00531768">
        <w:rPr>
          <w:rFonts w:ascii="Times New Roman" w:hAnsi="Times New Roman" w:cs="Times New Roman"/>
          <w:b/>
          <w:bCs/>
          <w:sz w:val="22"/>
          <w:szCs w:val="22"/>
        </w:rPr>
        <w:t xml:space="preserve"> ПРОЦЕНА ПРИХОДА И ПРИМАЊА И РАСХОДА И ИЗДАТАКА ЗА 201</w:t>
      </w:r>
      <w:r w:rsidR="002A63FA" w:rsidRPr="0053176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6</w:t>
      </w:r>
      <w:r w:rsidRPr="00531768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  <w:r w:rsidRPr="00531768">
        <w:rPr>
          <w:rFonts w:ascii="Times New Roman" w:hAnsi="Times New Roman" w:cs="Times New Roman"/>
          <w:b/>
          <w:bCs/>
          <w:sz w:val="22"/>
          <w:szCs w:val="22"/>
        </w:rPr>
        <w:t>И НАРЕДНЕ ДВЕ</w:t>
      </w:r>
      <w:r w:rsidRPr="0053176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/>
          <w:bCs/>
          <w:sz w:val="22"/>
          <w:szCs w:val="22"/>
        </w:rPr>
        <w:t>ГОДИНЕ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Полазна основа за планирање обима буџета за 201</w:t>
      </w:r>
      <w:r w:rsidR="002A63FA"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531768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годину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су планирани приходи и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примања из Одлуке о буџету 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Општине Владичин Хан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за 201</w:t>
      </w:r>
      <w:r w:rsidR="002A63FA"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5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г</w:t>
      </w:r>
      <w:r w:rsidRPr="00531768">
        <w:rPr>
          <w:rFonts w:ascii="Times New Roman" w:hAnsi="Times New Roman" w:cs="Times New Roman"/>
          <w:bCs/>
          <w:sz w:val="22"/>
          <w:szCs w:val="22"/>
        </w:rPr>
        <w:t>одину, као и планирани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расходи и издаци из ове Одлуке.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У складу са подацима о реализацији прихода у претходним годинама, планираним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приходима и примањима из Одлуке о буџету 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Општине Владичин Хан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за 201</w:t>
      </w:r>
      <w:r w:rsidR="002A63FA"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5</w:t>
      </w:r>
      <w:r w:rsidRPr="00531768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г</w:t>
      </w:r>
      <w:r w:rsidRPr="00531768">
        <w:rPr>
          <w:rFonts w:ascii="Times New Roman" w:hAnsi="Times New Roman" w:cs="Times New Roman"/>
          <w:bCs/>
          <w:sz w:val="22"/>
          <w:szCs w:val="22"/>
        </w:rPr>
        <w:t>одину, као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>и параметрима датим у Фискалној стратегији за 201</w:t>
      </w:r>
      <w:r w:rsidR="002A63FA"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5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са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пројекцијама за 201</w:t>
      </w:r>
      <w:r w:rsidR="002A63FA"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и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2A63FA"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7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годину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>,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израђена је пројекција буџетских прихода и примања у буџету </w:t>
      </w:r>
      <w:r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Општине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 за 201</w:t>
      </w:r>
      <w:r w:rsidR="002A63FA" w:rsidRPr="00531768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531768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gramStart"/>
      <w:r w:rsidRPr="00531768">
        <w:rPr>
          <w:rFonts w:ascii="Times New Roman" w:hAnsi="Times New Roman" w:cs="Times New Roman"/>
          <w:bCs/>
          <w:sz w:val="22"/>
          <w:szCs w:val="22"/>
        </w:rPr>
        <w:t>годину</w:t>
      </w:r>
      <w:proofErr w:type="gramEnd"/>
      <w:r w:rsidRPr="00531768">
        <w:rPr>
          <w:rFonts w:ascii="Times New Roman" w:hAnsi="Times New Roman" w:cs="Times New Roman"/>
          <w:bCs/>
          <w:sz w:val="22"/>
          <w:szCs w:val="22"/>
        </w:rPr>
        <w:t>: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2"/>
          <w:szCs w:val="22"/>
          <w:lang w:val="sr-Cyrl-CS"/>
        </w:rPr>
      </w:pPr>
      <w:proofErr w:type="gramStart"/>
      <w:r w:rsidRPr="00531768">
        <w:rPr>
          <w:rFonts w:ascii="Times New Roman" w:hAnsi="Times New Roman" w:cs="Times New Roman"/>
          <w:b/>
          <w:bCs/>
          <w:sz w:val="22"/>
          <w:szCs w:val="22"/>
        </w:rPr>
        <w:t>Табела-</w:t>
      </w:r>
      <w:r w:rsidRPr="00531768">
        <w:rPr>
          <w:rFonts w:ascii="Times New Roman" w:hAnsi="Times New Roman" w:cs="Times New Roman"/>
          <w:b/>
          <w:bCs/>
          <w:i/>
          <w:iCs/>
          <w:sz w:val="22"/>
          <w:szCs w:val="22"/>
        </w:rPr>
        <w:t>Пројекција прихода и примања у периоду од 201</w:t>
      </w:r>
      <w:r w:rsidR="002A63FA" w:rsidRPr="00531768">
        <w:rPr>
          <w:rFonts w:ascii="Times New Roman" w:hAnsi="Times New Roman" w:cs="Times New Roman"/>
          <w:b/>
          <w:bCs/>
          <w:i/>
          <w:iCs/>
          <w:sz w:val="22"/>
          <w:szCs w:val="22"/>
          <w:lang w:val="sr-Cyrl-CS"/>
        </w:rPr>
        <w:t>6</w:t>
      </w:r>
      <w:r w:rsidRPr="00531768">
        <w:rPr>
          <w:rFonts w:ascii="Times New Roman" w:hAnsi="Times New Roman" w:cs="Times New Roman"/>
          <w:b/>
          <w:bCs/>
          <w:i/>
          <w:iCs/>
          <w:sz w:val="22"/>
          <w:szCs w:val="22"/>
        </w:rPr>
        <w:t>.</w:t>
      </w:r>
      <w:proofErr w:type="gramEnd"/>
      <w:r w:rsidRPr="0053176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gramStart"/>
      <w:r w:rsidRPr="00531768">
        <w:rPr>
          <w:rFonts w:ascii="Times New Roman" w:hAnsi="Times New Roman" w:cs="Times New Roman"/>
          <w:b/>
          <w:bCs/>
          <w:i/>
          <w:iCs/>
          <w:sz w:val="22"/>
          <w:szCs w:val="22"/>
        </w:rPr>
        <w:t>до</w:t>
      </w:r>
      <w:proofErr w:type="gramEnd"/>
      <w:r w:rsidRPr="0053176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201</w:t>
      </w:r>
      <w:r w:rsidR="002A63FA" w:rsidRPr="00531768">
        <w:rPr>
          <w:rFonts w:ascii="Times New Roman" w:hAnsi="Times New Roman" w:cs="Times New Roman"/>
          <w:b/>
          <w:bCs/>
          <w:i/>
          <w:iCs/>
          <w:sz w:val="22"/>
          <w:szCs w:val="22"/>
          <w:lang w:val="sr-Cyrl-CS"/>
        </w:rPr>
        <w:t>8</w:t>
      </w:r>
      <w:r w:rsidRPr="0053176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. </w:t>
      </w:r>
      <w:r w:rsidRPr="00531768">
        <w:rPr>
          <w:rFonts w:ascii="Times New Roman" w:hAnsi="Times New Roman" w:cs="Times New Roman"/>
          <w:b/>
          <w:bCs/>
          <w:i/>
          <w:iCs/>
          <w:sz w:val="22"/>
          <w:szCs w:val="22"/>
          <w:lang w:val="sr-Cyrl-CS"/>
        </w:rPr>
        <w:t>г</w:t>
      </w:r>
      <w:r w:rsidRPr="00531768">
        <w:rPr>
          <w:rFonts w:ascii="Times New Roman" w:hAnsi="Times New Roman" w:cs="Times New Roman"/>
          <w:b/>
          <w:bCs/>
          <w:i/>
          <w:iCs/>
          <w:sz w:val="22"/>
          <w:szCs w:val="22"/>
        </w:rPr>
        <w:t>одине</w:t>
      </w:r>
      <w:r w:rsidRPr="00531768">
        <w:rPr>
          <w:rFonts w:ascii="Times New Roman" w:hAnsi="Times New Roman" w:cs="Times New Roman"/>
          <w:b/>
          <w:bCs/>
          <w:i/>
          <w:iCs/>
          <w:sz w:val="22"/>
          <w:szCs w:val="22"/>
          <w:lang w:val="sr-Cyrl-CS"/>
        </w:rPr>
        <w:t xml:space="preserve"> (у хиљадама динара)</w:t>
      </w:r>
    </w:p>
    <w:p w:rsidR="00E65557" w:rsidRPr="00531768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tbl>
      <w:tblPr>
        <w:tblStyle w:val="TableGrid"/>
        <w:tblW w:w="10098" w:type="dxa"/>
        <w:tblInd w:w="-522" w:type="dxa"/>
        <w:tblLook w:val="04A0"/>
      </w:tblPr>
      <w:tblGrid>
        <w:gridCol w:w="3130"/>
        <w:gridCol w:w="1348"/>
        <w:gridCol w:w="1336"/>
        <w:gridCol w:w="1414"/>
        <w:gridCol w:w="1461"/>
        <w:gridCol w:w="1409"/>
      </w:tblGrid>
      <w:tr w:rsidR="00E65557" w:rsidRPr="00531768" w:rsidTr="005E7B40">
        <w:tc>
          <w:tcPr>
            <w:tcW w:w="3130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ПРИХОДИ И ПРИМАЊА (у</w:t>
            </w:r>
          </w:p>
        </w:tc>
        <w:tc>
          <w:tcPr>
            <w:tcW w:w="1348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201</w:t>
            </w:r>
            <w:r w:rsidR="002A63FA"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</w:t>
            </w:r>
          </w:p>
          <w:p w:rsidR="00E65557" w:rsidRPr="00531768" w:rsidRDefault="00E65557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остварење</w:t>
            </w:r>
          </w:p>
        </w:tc>
        <w:tc>
          <w:tcPr>
            <w:tcW w:w="1336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201</w:t>
            </w:r>
            <w:r w:rsidR="002A63FA"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</w:t>
            </w:r>
          </w:p>
          <w:p w:rsidR="00E65557" w:rsidRPr="00531768" w:rsidRDefault="00E65557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процена</w:t>
            </w:r>
          </w:p>
        </w:tc>
        <w:tc>
          <w:tcPr>
            <w:tcW w:w="1414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201</w:t>
            </w:r>
            <w:r w:rsidR="002A63FA"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</w:t>
            </w:r>
          </w:p>
          <w:p w:rsidR="00E65557" w:rsidRPr="00531768" w:rsidRDefault="00E65557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пројекција</w:t>
            </w:r>
          </w:p>
        </w:tc>
        <w:tc>
          <w:tcPr>
            <w:tcW w:w="1461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201</w:t>
            </w:r>
            <w:r w:rsidR="002A63FA"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</w:t>
            </w:r>
          </w:p>
          <w:p w:rsidR="00E65557" w:rsidRPr="00531768" w:rsidRDefault="00E65557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пројекција</w:t>
            </w:r>
          </w:p>
          <w:p w:rsidR="00E65557" w:rsidRPr="00531768" w:rsidRDefault="00E65557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09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201</w:t>
            </w:r>
            <w:r w:rsidR="002A63FA"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8</w:t>
            </w:r>
          </w:p>
          <w:p w:rsidR="00E65557" w:rsidRPr="00531768" w:rsidRDefault="00E65557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пројекција</w:t>
            </w:r>
          </w:p>
          <w:p w:rsidR="00E65557" w:rsidRPr="00531768" w:rsidRDefault="00E65557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E65557" w:rsidRPr="00531768" w:rsidTr="005E7B40">
        <w:tc>
          <w:tcPr>
            <w:tcW w:w="3130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Порези</w:t>
            </w:r>
          </w:p>
        </w:tc>
        <w:tc>
          <w:tcPr>
            <w:tcW w:w="1348" w:type="dxa"/>
          </w:tcPr>
          <w:p w:rsidR="00E65557" w:rsidRPr="00531768" w:rsidRDefault="00E65557" w:rsidP="001E04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E0487"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</w:t>
            </w: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1E0487"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393</w:t>
            </w:r>
          </w:p>
        </w:tc>
        <w:tc>
          <w:tcPr>
            <w:tcW w:w="1336" w:type="dxa"/>
          </w:tcPr>
          <w:p w:rsidR="00E65557" w:rsidRPr="00531768" w:rsidRDefault="00E65557" w:rsidP="00540D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40D8A"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78</w:t>
            </w: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40D8A"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48</w:t>
            </w: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E65557" w:rsidRPr="00531768" w:rsidRDefault="00154BFA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</w:t>
            </w:r>
            <w:r w:rsidR="00E65557"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461" w:type="dxa"/>
          </w:tcPr>
          <w:p w:rsidR="00E65557" w:rsidRPr="00531768" w:rsidRDefault="00B13E16" w:rsidP="00B13E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223</w:t>
            </w:r>
            <w:r w:rsidR="00E65557"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0</w:t>
            </w:r>
            <w:r w:rsidR="00E65557"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09" w:type="dxa"/>
          </w:tcPr>
          <w:p w:rsidR="00E65557" w:rsidRPr="00531768" w:rsidRDefault="00E65557" w:rsidP="00B13E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13E16"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47</w:t>
            </w: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</w:tr>
      <w:tr w:rsidR="00E65557" w:rsidRPr="00531768" w:rsidTr="005E7B40">
        <w:tc>
          <w:tcPr>
            <w:tcW w:w="3130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317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1.1. Порез на доходак,</w:t>
            </w:r>
          </w:p>
          <w:p w:rsidR="00E65557" w:rsidRPr="00531768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317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добит и капиталне</w:t>
            </w:r>
          </w:p>
          <w:p w:rsidR="00E65557" w:rsidRPr="00531768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 w:rsidRPr="005317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добитке</w:t>
            </w:r>
          </w:p>
        </w:tc>
        <w:tc>
          <w:tcPr>
            <w:tcW w:w="1348" w:type="dxa"/>
            <w:vAlign w:val="center"/>
          </w:tcPr>
          <w:p w:rsidR="00E65557" w:rsidRPr="00531768" w:rsidRDefault="001E0487" w:rsidP="001E04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131</w:t>
            </w:r>
            <w:r w:rsidR="00E65557"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.</w:t>
            </w:r>
            <w:r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454</w:t>
            </w:r>
          </w:p>
        </w:tc>
        <w:tc>
          <w:tcPr>
            <w:tcW w:w="1336" w:type="dxa"/>
            <w:vAlign w:val="center"/>
          </w:tcPr>
          <w:p w:rsidR="00E65557" w:rsidRPr="00531768" w:rsidRDefault="00E65557" w:rsidP="00540D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1</w:t>
            </w:r>
            <w:r w:rsidR="00540D8A"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42</w:t>
            </w:r>
            <w:r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.4</w:t>
            </w:r>
            <w:r w:rsidR="00540D8A"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5</w:t>
            </w:r>
            <w:r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414" w:type="dxa"/>
            <w:vAlign w:val="center"/>
          </w:tcPr>
          <w:p w:rsidR="00E65557" w:rsidRPr="00531768" w:rsidRDefault="00E65557" w:rsidP="00154B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7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54BF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31768">
              <w:rPr>
                <w:rFonts w:ascii="Times New Roman" w:hAnsi="Times New Roman" w:cs="Times New Roman"/>
                <w:bCs/>
                <w:sz w:val="24"/>
                <w:szCs w:val="24"/>
              </w:rPr>
              <w:t>0.000</w:t>
            </w:r>
          </w:p>
        </w:tc>
        <w:tc>
          <w:tcPr>
            <w:tcW w:w="1461" w:type="dxa"/>
            <w:vAlign w:val="center"/>
          </w:tcPr>
          <w:p w:rsidR="00E65557" w:rsidRPr="00531768" w:rsidRDefault="00E65557" w:rsidP="00B13E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7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13E16"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8</w:t>
            </w:r>
            <w:r w:rsidRPr="00531768">
              <w:rPr>
                <w:rFonts w:ascii="Times New Roman" w:hAnsi="Times New Roman" w:cs="Times New Roman"/>
                <w:bCs/>
                <w:sz w:val="24"/>
                <w:szCs w:val="24"/>
              </w:rPr>
              <w:t>0.000</w:t>
            </w:r>
          </w:p>
        </w:tc>
        <w:tc>
          <w:tcPr>
            <w:tcW w:w="1409" w:type="dxa"/>
            <w:vAlign w:val="center"/>
          </w:tcPr>
          <w:p w:rsidR="00E65557" w:rsidRPr="00531768" w:rsidRDefault="00B13E16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20</w:t>
            </w:r>
            <w:r w:rsidR="00E65557" w:rsidRPr="00531768">
              <w:rPr>
                <w:rFonts w:ascii="Times New Roman" w:hAnsi="Times New Roman" w:cs="Times New Roman"/>
                <w:bCs/>
                <w:sz w:val="24"/>
                <w:szCs w:val="24"/>
              </w:rPr>
              <w:t>0.000</w:t>
            </w:r>
          </w:p>
        </w:tc>
      </w:tr>
      <w:tr w:rsidR="00E65557" w:rsidRPr="00531768" w:rsidTr="005E7B40">
        <w:tc>
          <w:tcPr>
            <w:tcW w:w="3130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 w:rsidRPr="005317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1.2. Порез на имовину</w:t>
            </w:r>
          </w:p>
        </w:tc>
        <w:tc>
          <w:tcPr>
            <w:tcW w:w="1348" w:type="dxa"/>
            <w:vAlign w:val="center"/>
          </w:tcPr>
          <w:p w:rsidR="00E65557" w:rsidRPr="00531768" w:rsidRDefault="001E0487" w:rsidP="001E04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16</w:t>
            </w:r>
            <w:r w:rsidR="00E65557"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.</w:t>
            </w:r>
            <w:r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794</w:t>
            </w:r>
          </w:p>
        </w:tc>
        <w:tc>
          <w:tcPr>
            <w:tcW w:w="1336" w:type="dxa"/>
            <w:vAlign w:val="center"/>
          </w:tcPr>
          <w:p w:rsidR="00E65557" w:rsidRPr="00531768" w:rsidRDefault="00540D8A" w:rsidP="00540D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20</w:t>
            </w:r>
            <w:r w:rsidR="00E65557"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.</w:t>
            </w:r>
            <w:r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3</w:t>
            </w:r>
            <w:r w:rsidR="00E65557"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1414" w:type="dxa"/>
            <w:vAlign w:val="center"/>
          </w:tcPr>
          <w:p w:rsidR="00E65557" w:rsidRPr="00531768" w:rsidRDefault="003F7329" w:rsidP="00154B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</w:t>
            </w:r>
            <w:r w:rsidR="00154B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65557" w:rsidRPr="00531768">
              <w:rPr>
                <w:rFonts w:ascii="Times New Roman" w:hAnsi="Times New Roman" w:cs="Times New Roman"/>
                <w:bCs/>
                <w:sz w:val="24"/>
                <w:szCs w:val="24"/>
              </w:rPr>
              <w:t>.000</w:t>
            </w:r>
          </w:p>
        </w:tc>
        <w:tc>
          <w:tcPr>
            <w:tcW w:w="1461" w:type="dxa"/>
            <w:vAlign w:val="center"/>
          </w:tcPr>
          <w:p w:rsidR="00E65557" w:rsidRPr="00531768" w:rsidRDefault="00B13E16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24</w:t>
            </w:r>
            <w:r w:rsidR="00E65557" w:rsidRPr="00531768">
              <w:rPr>
                <w:rFonts w:ascii="Times New Roman" w:hAnsi="Times New Roman" w:cs="Times New Roman"/>
                <w:bCs/>
                <w:sz w:val="24"/>
                <w:szCs w:val="24"/>
              </w:rPr>
              <w:t>.000</w:t>
            </w:r>
          </w:p>
        </w:tc>
        <w:tc>
          <w:tcPr>
            <w:tcW w:w="1409" w:type="dxa"/>
            <w:vAlign w:val="center"/>
          </w:tcPr>
          <w:p w:rsidR="00E65557" w:rsidRPr="00531768" w:rsidRDefault="00B13E16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25</w:t>
            </w:r>
            <w:r w:rsidR="00E65557" w:rsidRPr="00531768">
              <w:rPr>
                <w:rFonts w:ascii="Times New Roman" w:hAnsi="Times New Roman" w:cs="Times New Roman"/>
                <w:bCs/>
                <w:sz w:val="24"/>
                <w:szCs w:val="24"/>
              </w:rPr>
              <w:t>.000</w:t>
            </w:r>
          </w:p>
        </w:tc>
      </w:tr>
      <w:tr w:rsidR="00E65557" w:rsidRPr="00531768" w:rsidTr="005E7B40">
        <w:tc>
          <w:tcPr>
            <w:tcW w:w="3130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 w:rsidRPr="005317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1.3. Порез на добра и услуге</w:t>
            </w:r>
          </w:p>
        </w:tc>
        <w:tc>
          <w:tcPr>
            <w:tcW w:w="1348" w:type="dxa"/>
            <w:vAlign w:val="center"/>
          </w:tcPr>
          <w:p w:rsidR="00E65557" w:rsidRPr="00531768" w:rsidRDefault="00E65557" w:rsidP="001E04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5.</w:t>
            </w:r>
            <w:r w:rsidR="001E0487"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144</w:t>
            </w:r>
          </w:p>
        </w:tc>
        <w:tc>
          <w:tcPr>
            <w:tcW w:w="1336" w:type="dxa"/>
            <w:vAlign w:val="center"/>
          </w:tcPr>
          <w:p w:rsidR="00E65557" w:rsidRPr="00531768" w:rsidRDefault="00540D8A" w:rsidP="00540D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6</w:t>
            </w:r>
            <w:r w:rsidR="00E65557"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.</w:t>
            </w:r>
            <w:r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73</w:t>
            </w:r>
            <w:r w:rsidR="00E65557"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414" w:type="dxa"/>
            <w:vAlign w:val="center"/>
          </w:tcPr>
          <w:p w:rsidR="00E65557" w:rsidRPr="00531768" w:rsidRDefault="00154BFA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E65557" w:rsidRPr="00531768">
              <w:rPr>
                <w:rFonts w:ascii="Times New Roman" w:hAnsi="Times New Roman" w:cs="Times New Roman"/>
                <w:bCs/>
                <w:sz w:val="24"/>
                <w:szCs w:val="24"/>
              </w:rPr>
              <w:t>.000</w:t>
            </w:r>
          </w:p>
        </w:tc>
        <w:tc>
          <w:tcPr>
            <w:tcW w:w="1461" w:type="dxa"/>
            <w:vAlign w:val="center"/>
          </w:tcPr>
          <w:p w:rsidR="00E65557" w:rsidRPr="00531768" w:rsidRDefault="00B13E16" w:rsidP="00B13E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9</w:t>
            </w:r>
            <w:r w:rsidR="00E65557" w:rsidRPr="005317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0</w:t>
            </w:r>
            <w:r w:rsidR="00E65557" w:rsidRPr="0053176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09" w:type="dxa"/>
            <w:vAlign w:val="center"/>
          </w:tcPr>
          <w:p w:rsidR="00E65557" w:rsidRPr="00531768" w:rsidRDefault="00B13E16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10</w:t>
            </w:r>
            <w:r w:rsidR="00E65557" w:rsidRPr="00531768">
              <w:rPr>
                <w:rFonts w:ascii="Times New Roman" w:hAnsi="Times New Roman" w:cs="Times New Roman"/>
                <w:bCs/>
                <w:sz w:val="24"/>
                <w:szCs w:val="24"/>
              </w:rPr>
              <w:t>.000</w:t>
            </w:r>
          </w:p>
        </w:tc>
      </w:tr>
      <w:tr w:rsidR="00E65557" w:rsidRPr="00531768" w:rsidTr="005E7B40">
        <w:tc>
          <w:tcPr>
            <w:tcW w:w="3130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 w:rsidRPr="005317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1.4. Други порези</w:t>
            </w:r>
          </w:p>
        </w:tc>
        <w:tc>
          <w:tcPr>
            <w:tcW w:w="1348" w:type="dxa"/>
            <w:vAlign w:val="center"/>
          </w:tcPr>
          <w:p w:rsidR="00E65557" w:rsidRPr="00531768" w:rsidRDefault="00E65557" w:rsidP="001E04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1</w:t>
            </w:r>
            <w:r w:rsidR="001E0487"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0</w:t>
            </w:r>
            <w:r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.</w:t>
            </w:r>
            <w:r w:rsidR="001E0487"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0</w:t>
            </w:r>
            <w:r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01</w:t>
            </w:r>
          </w:p>
        </w:tc>
        <w:tc>
          <w:tcPr>
            <w:tcW w:w="1336" w:type="dxa"/>
            <w:vAlign w:val="center"/>
          </w:tcPr>
          <w:p w:rsidR="00E65557" w:rsidRPr="00531768" w:rsidRDefault="00540D8A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9</w:t>
            </w:r>
            <w:r w:rsidR="00E65557"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.000</w:t>
            </w:r>
          </w:p>
        </w:tc>
        <w:tc>
          <w:tcPr>
            <w:tcW w:w="1414" w:type="dxa"/>
            <w:vAlign w:val="center"/>
          </w:tcPr>
          <w:p w:rsidR="00E65557" w:rsidRPr="00531768" w:rsidRDefault="00B13E16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9</w:t>
            </w:r>
            <w:r w:rsidR="00E65557" w:rsidRPr="00531768">
              <w:rPr>
                <w:rFonts w:ascii="Times New Roman" w:hAnsi="Times New Roman" w:cs="Times New Roman"/>
                <w:bCs/>
                <w:sz w:val="24"/>
                <w:szCs w:val="24"/>
              </w:rPr>
              <w:t>.000</w:t>
            </w:r>
          </w:p>
        </w:tc>
        <w:tc>
          <w:tcPr>
            <w:tcW w:w="1461" w:type="dxa"/>
            <w:vAlign w:val="center"/>
          </w:tcPr>
          <w:p w:rsidR="00E65557" w:rsidRPr="00531768" w:rsidRDefault="00E65557" w:rsidP="00B13E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7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13E16"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0</w:t>
            </w:r>
            <w:r w:rsidRPr="00531768">
              <w:rPr>
                <w:rFonts w:ascii="Times New Roman" w:hAnsi="Times New Roman" w:cs="Times New Roman"/>
                <w:bCs/>
                <w:sz w:val="24"/>
                <w:szCs w:val="24"/>
              </w:rPr>
              <w:t>.000</w:t>
            </w:r>
          </w:p>
        </w:tc>
        <w:tc>
          <w:tcPr>
            <w:tcW w:w="1409" w:type="dxa"/>
            <w:vAlign w:val="center"/>
          </w:tcPr>
          <w:p w:rsidR="00E65557" w:rsidRPr="00531768" w:rsidRDefault="00E65557" w:rsidP="00B13E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7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13E16" w:rsidRPr="0053176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</w:t>
            </w:r>
            <w:r w:rsidRPr="00531768">
              <w:rPr>
                <w:rFonts w:ascii="Times New Roman" w:hAnsi="Times New Roman" w:cs="Times New Roman"/>
                <w:bCs/>
                <w:sz w:val="24"/>
                <w:szCs w:val="24"/>
              </w:rPr>
              <w:t>.000</w:t>
            </w:r>
          </w:p>
        </w:tc>
      </w:tr>
      <w:tr w:rsidR="00E65557" w:rsidRPr="00531768" w:rsidTr="005E7B40">
        <w:tc>
          <w:tcPr>
            <w:tcW w:w="3130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Донације од</w:t>
            </w:r>
          </w:p>
          <w:p w:rsidR="00E65557" w:rsidRPr="00531768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међународних</w:t>
            </w:r>
          </w:p>
          <w:p w:rsidR="00E65557" w:rsidRPr="00531768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организација</w:t>
            </w:r>
          </w:p>
        </w:tc>
        <w:tc>
          <w:tcPr>
            <w:tcW w:w="1348" w:type="dxa"/>
            <w:vAlign w:val="center"/>
          </w:tcPr>
          <w:p w:rsidR="00E65557" w:rsidRPr="00531768" w:rsidRDefault="001E0487" w:rsidP="001E04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</w:t>
            </w:r>
            <w:r w:rsidR="00E65557"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.0</w:t>
            </w: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70</w:t>
            </w:r>
          </w:p>
        </w:tc>
        <w:tc>
          <w:tcPr>
            <w:tcW w:w="1336" w:type="dxa"/>
            <w:vAlign w:val="center"/>
          </w:tcPr>
          <w:p w:rsidR="00E65557" w:rsidRPr="00531768" w:rsidRDefault="00540D8A" w:rsidP="00540D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20</w:t>
            </w:r>
            <w:r w:rsidR="00E65557"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0</w:t>
            </w:r>
            <w:r w:rsidR="00E65557"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1414" w:type="dxa"/>
            <w:vAlign w:val="center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20.000</w:t>
            </w:r>
          </w:p>
        </w:tc>
        <w:tc>
          <w:tcPr>
            <w:tcW w:w="1461" w:type="dxa"/>
            <w:vAlign w:val="center"/>
          </w:tcPr>
          <w:p w:rsidR="00E65557" w:rsidRPr="00531768" w:rsidRDefault="00B13E16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</w:t>
            </w:r>
            <w:r w:rsidR="00E65557"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409" w:type="dxa"/>
            <w:vAlign w:val="center"/>
          </w:tcPr>
          <w:p w:rsidR="00E65557" w:rsidRPr="00531768" w:rsidRDefault="00B13E16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</w:t>
            </w:r>
            <w:r w:rsidR="00E65557"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  <w:tr w:rsidR="00E65557" w:rsidRPr="00531768" w:rsidTr="005E7B40">
        <w:tc>
          <w:tcPr>
            <w:tcW w:w="3130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Трансфери од других</w:t>
            </w:r>
          </w:p>
          <w:p w:rsidR="00E65557" w:rsidRPr="00531768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нивоа власти</w:t>
            </w:r>
          </w:p>
        </w:tc>
        <w:tc>
          <w:tcPr>
            <w:tcW w:w="1348" w:type="dxa"/>
            <w:vAlign w:val="center"/>
          </w:tcPr>
          <w:p w:rsidR="00E65557" w:rsidRPr="00531768" w:rsidRDefault="001E0487" w:rsidP="001E04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281</w:t>
            </w:r>
            <w:r w:rsidR="00E65557"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397</w:t>
            </w:r>
          </w:p>
        </w:tc>
        <w:tc>
          <w:tcPr>
            <w:tcW w:w="1336" w:type="dxa"/>
            <w:vAlign w:val="center"/>
          </w:tcPr>
          <w:p w:rsidR="00E65557" w:rsidRPr="00531768" w:rsidRDefault="00540D8A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28</w:t>
            </w:r>
            <w:r w:rsidR="00E65557"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8.000</w:t>
            </w:r>
          </w:p>
        </w:tc>
        <w:tc>
          <w:tcPr>
            <w:tcW w:w="1414" w:type="dxa"/>
            <w:vAlign w:val="center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300.000</w:t>
            </w:r>
          </w:p>
        </w:tc>
        <w:tc>
          <w:tcPr>
            <w:tcW w:w="1461" w:type="dxa"/>
            <w:vAlign w:val="center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300.000</w:t>
            </w:r>
          </w:p>
        </w:tc>
        <w:tc>
          <w:tcPr>
            <w:tcW w:w="1409" w:type="dxa"/>
            <w:vAlign w:val="center"/>
          </w:tcPr>
          <w:p w:rsidR="00E65557" w:rsidRPr="00531768" w:rsidRDefault="00E65557" w:rsidP="00B13E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13E16"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</w:t>
            </w: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  <w:tr w:rsidR="00E65557" w:rsidRPr="00531768" w:rsidTr="005E7B40">
        <w:tc>
          <w:tcPr>
            <w:tcW w:w="3130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Други приходи</w:t>
            </w:r>
          </w:p>
        </w:tc>
        <w:tc>
          <w:tcPr>
            <w:tcW w:w="1348" w:type="dxa"/>
            <w:vAlign w:val="center"/>
          </w:tcPr>
          <w:p w:rsidR="00E65557" w:rsidRPr="00531768" w:rsidRDefault="001E0487" w:rsidP="001E04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50</w:t>
            </w:r>
            <w:r w:rsidR="00E65557"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944</w:t>
            </w:r>
          </w:p>
        </w:tc>
        <w:tc>
          <w:tcPr>
            <w:tcW w:w="1336" w:type="dxa"/>
            <w:vAlign w:val="center"/>
          </w:tcPr>
          <w:p w:rsidR="00E65557" w:rsidRPr="00531768" w:rsidRDefault="00E65557" w:rsidP="00540D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</w:t>
            </w:r>
            <w:r w:rsidR="00540D8A"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</w:t>
            </w: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  <w:r w:rsidR="00540D8A"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56</w:t>
            </w: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414" w:type="dxa"/>
            <w:vAlign w:val="center"/>
          </w:tcPr>
          <w:p w:rsidR="00E65557" w:rsidRPr="00531768" w:rsidRDefault="00B13E16" w:rsidP="00154B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</w:t>
            </w:r>
            <w:r w:rsidR="0015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65557"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461" w:type="dxa"/>
            <w:vAlign w:val="center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60.000</w:t>
            </w:r>
          </w:p>
        </w:tc>
        <w:tc>
          <w:tcPr>
            <w:tcW w:w="1409" w:type="dxa"/>
            <w:vAlign w:val="center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60.000</w:t>
            </w:r>
          </w:p>
        </w:tc>
      </w:tr>
      <w:tr w:rsidR="00E65557" w:rsidRPr="00177BBE" w:rsidTr="005E7B40">
        <w:tc>
          <w:tcPr>
            <w:tcW w:w="3130" w:type="dxa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Примања од продаје</w:t>
            </w:r>
          </w:p>
          <w:p w:rsidR="00E65557" w:rsidRPr="00531768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нефинансијске имовине</w:t>
            </w:r>
          </w:p>
        </w:tc>
        <w:tc>
          <w:tcPr>
            <w:tcW w:w="1348" w:type="dxa"/>
            <w:vAlign w:val="center"/>
          </w:tcPr>
          <w:p w:rsidR="00E65557" w:rsidRPr="00531768" w:rsidRDefault="001E048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3.121</w:t>
            </w:r>
          </w:p>
        </w:tc>
        <w:tc>
          <w:tcPr>
            <w:tcW w:w="1336" w:type="dxa"/>
            <w:vAlign w:val="center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500</w:t>
            </w:r>
          </w:p>
        </w:tc>
        <w:tc>
          <w:tcPr>
            <w:tcW w:w="1414" w:type="dxa"/>
            <w:vAlign w:val="center"/>
          </w:tcPr>
          <w:p w:rsidR="00E65557" w:rsidRPr="00531768" w:rsidRDefault="00B13E16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150</w:t>
            </w:r>
            <w:r w:rsidR="00E65557"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461" w:type="dxa"/>
            <w:vAlign w:val="center"/>
          </w:tcPr>
          <w:p w:rsidR="00E65557" w:rsidRPr="00531768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1.000</w:t>
            </w:r>
          </w:p>
        </w:tc>
        <w:tc>
          <w:tcPr>
            <w:tcW w:w="1409" w:type="dxa"/>
            <w:vAlign w:val="center"/>
          </w:tcPr>
          <w:p w:rsidR="00E65557" w:rsidRPr="00B13E16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1.000</w:t>
            </w:r>
          </w:p>
        </w:tc>
      </w:tr>
      <w:tr w:rsidR="00E65557" w:rsidRPr="00177BBE" w:rsidTr="005E7B40">
        <w:tc>
          <w:tcPr>
            <w:tcW w:w="3130" w:type="dxa"/>
          </w:tcPr>
          <w:p w:rsidR="00E65557" w:rsidRPr="00177BBE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B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Примања од</w:t>
            </w:r>
          </w:p>
          <w:p w:rsidR="00E65557" w:rsidRPr="00177BBE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B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задуживања и продаје</w:t>
            </w:r>
          </w:p>
          <w:p w:rsidR="00E65557" w:rsidRPr="00177BBE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 w:rsidRPr="00177B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финансијске имовине</w:t>
            </w:r>
          </w:p>
        </w:tc>
        <w:tc>
          <w:tcPr>
            <w:tcW w:w="1348" w:type="dxa"/>
            <w:vAlign w:val="center"/>
          </w:tcPr>
          <w:p w:rsidR="00E65557" w:rsidRPr="001E0487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E04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336" w:type="dxa"/>
            <w:vAlign w:val="center"/>
          </w:tcPr>
          <w:p w:rsidR="00E65557" w:rsidRPr="00540D8A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40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414" w:type="dxa"/>
            <w:vAlign w:val="center"/>
          </w:tcPr>
          <w:p w:rsidR="00E65557" w:rsidRPr="00B13E16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61" w:type="dxa"/>
            <w:vAlign w:val="center"/>
          </w:tcPr>
          <w:p w:rsidR="00E65557" w:rsidRPr="00B13E16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:rsidR="00E65557" w:rsidRPr="00B13E16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65557" w:rsidRPr="00177BBE" w:rsidTr="005E7B40">
        <w:tc>
          <w:tcPr>
            <w:tcW w:w="3130" w:type="dxa"/>
          </w:tcPr>
          <w:p w:rsidR="00E65557" w:rsidRPr="00177BBE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B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Пренета средства из</w:t>
            </w:r>
          </w:p>
          <w:p w:rsidR="00E65557" w:rsidRPr="00177BBE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 w:rsidRPr="00177B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претходне године</w:t>
            </w:r>
          </w:p>
        </w:tc>
        <w:tc>
          <w:tcPr>
            <w:tcW w:w="1348" w:type="dxa"/>
            <w:tcBorders>
              <w:bottom w:val="single" w:sz="4" w:space="0" w:color="000000" w:themeColor="text1"/>
            </w:tcBorders>
            <w:vAlign w:val="center"/>
          </w:tcPr>
          <w:p w:rsidR="00E65557" w:rsidRPr="001E0487" w:rsidRDefault="001E0487" w:rsidP="001E04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E04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</w:t>
            </w:r>
            <w:r w:rsidR="00E65557" w:rsidRPr="001E04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9.</w:t>
            </w:r>
            <w:r w:rsidRPr="001E04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938</w:t>
            </w:r>
          </w:p>
        </w:tc>
        <w:tc>
          <w:tcPr>
            <w:tcW w:w="1336" w:type="dxa"/>
            <w:tcBorders>
              <w:bottom w:val="single" w:sz="4" w:space="0" w:color="000000" w:themeColor="text1"/>
            </w:tcBorders>
            <w:vAlign w:val="center"/>
          </w:tcPr>
          <w:p w:rsidR="00E65557" w:rsidRPr="00540D8A" w:rsidRDefault="00540D8A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40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E65557" w:rsidRPr="00540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.000</w:t>
            </w:r>
          </w:p>
        </w:tc>
        <w:tc>
          <w:tcPr>
            <w:tcW w:w="1414" w:type="dxa"/>
            <w:tcBorders>
              <w:bottom w:val="single" w:sz="4" w:space="0" w:color="000000" w:themeColor="text1"/>
            </w:tcBorders>
            <w:vAlign w:val="center"/>
          </w:tcPr>
          <w:p w:rsidR="00E65557" w:rsidRPr="00B13E16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bottom w:val="single" w:sz="4" w:space="0" w:color="000000" w:themeColor="text1"/>
            </w:tcBorders>
            <w:vAlign w:val="center"/>
          </w:tcPr>
          <w:p w:rsidR="00E65557" w:rsidRPr="00B13E16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bottom w:val="single" w:sz="4" w:space="0" w:color="000000" w:themeColor="text1"/>
            </w:tcBorders>
            <w:vAlign w:val="center"/>
          </w:tcPr>
          <w:p w:rsidR="00E65557" w:rsidRPr="00B13E16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65557" w:rsidRPr="00177BBE" w:rsidTr="005E7B40">
        <w:tc>
          <w:tcPr>
            <w:tcW w:w="3130" w:type="dxa"/>
          </w:tcPr>
          <w:p w:rsidR="00E65557" w:rsidRPr="00177BBE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 w:rsidRPr="00177B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УКУПНО</w:t>
            </w:r>
          </w:p>
        </w:tc>
        <w:tc>
          <w:tcPr>
            <w:tcW w:w="1348" w:type="dxa"/>
            <w:shd w:val="clear" w:color="auto" w:fill="B2A1C7" w:themeFill="accent4" w:themeFillTint="99"/>
            <w:vAlign w:val="center"/>
          </w:tcPr>
          <w:p w:rsidR="00E65557" w:rsidRPr="001E0487" w:rsidRDefault="00E65557" w:rsidP="001E04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 w:rsidRPr="001E04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  <w:t>5</w:t>
            </w:r>
            <w:r w:rsidR="001E0487" w:rsidRPr="001E04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  <w:t>32</w:t>
            </w:r>
            <w:r w:rsidRPr="001E04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  <w:t>.</w:t>
            </w:r>
            <w:r w:rsidR="001E0487" w:rsidRPr="001E04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  <w:t>863</w:t>
            </w:r>
          </w:p>
        </w:tc>
        <w:tc>
          <w:tcPr>
            <w:tcW w:w="1336" w:type="dxa"/>
            <w:shd w:val="clear" w:color="auto" w:fill="B2A1C7" w:themeFill="accent4" w:themeFillTint="99"/>
            <w:vAlign w:val="center"/>
          </w:tcPr>
          <w:p w:rsidR="00E65557" w:rsidRPr="00540D8A" w:rsidRDefault="00540D8A" w:rsidP="00540D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 w:rsidRPr="00540D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  <w:t>530</w:t>
            </w:r>
            <w:r w:rsidR="00E65557" w:rsidRPr="00540D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  <w:t>.</w:t>
            </w:r>
            <w:r w:rsidRPr="00540D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  <w:t>54</w:t>
            </w:r>
            <w:r w:rsidR="00E65557" w:rsidRPr="00540D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  <w:t>0</w:t>
            </w:r>
          </w:p>
        </w:tc>
        <w:tc>
          <w:tcPr>
            <w:tcW w:w="1414" w:type="dxa"/>
            <w:shd w:val="clear" w:color="auto" w:fill="B2A1C7" w:themeFill="accent4" w:themeFillTint="99"/>
            <w:vAlign w:val="center"/>
          </w:tcPr>
          <w:p w:rsidR="00E65557" w:rsidRPr="00B13E16" w:rsidRDefault="00154BFA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697</w:t>
            </w:r>
            <w:r w:rsidR="00E65557" w:rsidRPr="00B13E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.000</w:t>
            </w:r>
          </w:p>
        </w:tc>
        <w:tc>
          <w:tcPr>
            <w:tcW w:w="1461" w:type="dxa"/>
            <w:shd w:val="clear" w:color="auto" w:fill="B2A1C7" w:themeFill="accent4" w:themeFillTint="99"/>
            <w:vAlign w:val="center"/>
          </w:tcPr>
          <w:p w:rsidR="00E65557" w:rsidRPr="00B13E16" w:rsidRDefault="00B13E16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E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  <w:t>624</w:t>
            </w:r>
            <w:r w:rsidR="00E65557" w:rsidRPr="00B13E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.000</w:t>
            </w:r>
          </w:p>
        </w:tc>
        <w:tc>
          <w:tcPr>
            <w:tcW w:w="1409" w:type="dxa"/>
            <w:shd w:val="clear" w:color="auto" w:fill="B2A1C7" w:themeFill="accent4" w:themeFillTint="99"/>
            <w:vAlign w:val="center"/>
          </w:tcPr>
          <w:p w:rsidR="00E65557" w:rsidRPr="00B13E16" w:rsidRDefault="00E65557" w:rsidP="00B13E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E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B13E16" w:rsidRPr="00B13E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  <w:t>68</w:t>
            </w:r>
            <w:r w:rsidRPr="00B13E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.000</w:t>
            </w:r>
          </w:p>
        </w:tc>
      </w:tr>
      <w:tr w:rsidR="00E65557" w:rsidRPr="00177BBE" w:rsidTr="005E7B40">
        <w:tc>
          <w:tcPr>
            <w:tcW w:w="3130" w:type="dxa"/>
          </w:tcPr>
          <w:p w:rsidR="00E65557" w:rsidRPr="00EE302F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  <w:t>Остали приходи корисника буџета</w:t>
            </w:r>
          </w:p>
        </w:tc>
        <w:tc>
          <w:tcPr>
            <w:tcW w:w="1348" w:type="dxa"/>
            <w:vAlign w:val="center"/>
          </w:tcPr>
          <w:p w:rsidR="00E65557" w:rsidRPr="001E0487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336" w:type="dxa"/>
            <w:vAlign w:val="center"/>
          </w:tcPr>
          <w:p w:rsidR="00E65557" w:rsidRPr="00540D8A" w:rsidRDefault="00540D8A" w:rsidP="00540D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40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</w:t>
            </w:r>
            <w:r w:rsidR="00E65557" w:rsidRPr="00540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5.</w:t>
            </w:r>
            <w:r w:rsidRPr="00540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655</w:t>
            </w:r>
          </w:p>
        </w:tc>
        <w:tc>
          <w:tcPr>
            <w:tcW w:w="1414" w:type="dxa"/>
            <w:vAlign w:val="center"/>
          </w:tcPr>
          <w:p w:rsidR="00E65557" w:rsidRPr="00B13E16" w:rsidRDefault="00B13E16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E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</w:t>
            </w:r>
            <w:r w:rsidR="00E65557" w:rsidRPr="00B13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5.000</w:t>
            </w:r>
          </w:p>
        </w:tc>
        <w:tc>
          <w:tcPr>
            <w:tcW w:w="1461" w:type="dxa"/>
            <w:vAlign w:val="center"/>
          </w:tcPr>
          <w:p w:rsidR="00E65557" w:rsidRPr="00B13E16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40.000</w:t>
            </w:r>
          </w:p>
        </w:tc>
        <w:tc>
          <w:tcPr>
            <w:tcW w:w="1409" w:type="dxa"/>
            <w:vAlign w:val="center"/>
          </w:tcPr>
          <w:p w:rsidR="00E65557" w:rsidRPr="00B13E16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42.000</w:t>
            </w:r>
          </w:p>
        </w:tc>
      </w:tr>
      <w:tr w:rsidR="00E65557" w:rsidRPr="00177BBE" w:rsidTr="005E7B40">
        <w:tc>
          <w:tcPr>
            <w:tcW w:w="3130" w:type="dxa"/>
          </w:tcPr>
          <w:p w:rsidR="00E65557" w:rsidRPr="00177BBE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B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УКУПНО (БУЏЕТ+ОСТАЛИ</w:t>
            </w:r>
          </w:p>
          <w:p w:rsidR="00E65557" w:rsidRPr="00177BBE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 w:rsidRPr="00177B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ИЗВОРИ):</w:t>
            </w:r>
          </w:p>
        </w:tc>
        <w:tc>
          <w:tcPr>
            <w:tcW w:w="1348" w:type="dxa"/>
            <w:vAlign w:val="center"/>
          </w:tcPr>
          <w:p w:rsidR="00E65557" w:rsidRPr="002A63FA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sr-Cyrl-CS"/>
              </w:rPr>
            </w:pPr>
          </w:p>
        </w:tc>
        <w:tc>
          <w:tcPr>
            <w:tcW w:w="1336" w:type="dxa"/>
            <w:vAlign w:val="center"/>
          </w:tcPr>
          <w:p w:rsidR="00E65557" w:rsidRPr="00540D8A" w:rsidRDefault="00540D8A" w:rsidP="00540D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 w:rsidRPr="00540D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  <w:t>576</w:t>
            </w:r>
            <w:r w:rsidR="00E65557" w:rsidRPr="00540D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  <w:t>.</w:t>
            </w:r>
            <w:r w:rsidRPr="00540D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  <w:t>195</w:t>
            </w:r>
          </w:p>
        </w:tc>
        <w:tc>
          <w:tcPr>
            <w:tcW w:w="1414" w:type="dxa"/>
            <w:vAlign w:val="center"/>
          </w:tcPr>
          <w:p w:rsidR="00E65557" w:rsidRPr="00B13E16" w:rsidRDefault="00B13E16" w:rsidP="00154B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E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  <w:t>7</w:t>
            </w:r>
            <w:r w:rsidR="00154B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  <w:r w:rsidR="00E65557" w:rsidRPr="00B13E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.000</w:t>
            </w:r>
          </w:p>
        </w:tc>
        <w:tc>
          <w:tcPr>
            <w:tcW w:w="1461" w:type="dxa"/>
            <w:vAlign w:val="center"/>
          </w:tcPr>
          <w:p w:rsidR="00E65557" w:rsidRPr="00B13E16" w:rsidRDefault="00E65557" w:rsidP="00B13E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E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B13E16" w:rsidRPr="00B13E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  <w:t>64</w:t>
            </w:r>
            <w:r w:rsidRPr="00B13E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.000</w:t>
            </w:r>
          </w:p>
        </w:tc>
        <w:tc>
          <w:tcPr>
            <w:tcW w:w="1409" w:type="dxa"/>
            <w:vAlign w:val="center"/>
          </w:tcPr>
          <w:p w:rsidR="00E65557" w:rsidRPr="00B13E16" w:rsidRDefault="00B13E16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E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  <w:t>710</w:t>
            </w:r>
            <w:r w:rsidR="00E65557" w:rsidRPr="00B13E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.000</w:t>
            </w:r>
          </w:p>
        </w:tc>
      </w:tr>
    </w:tbl>
    <w:p w:rsidR="00E65557" w:rsidRPr="00D16CF9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D16CF9">
        <w:rPr>
          <w:rFonts w:ascii="Times New Roman" w:hAnsi="Times New Roman" w:cs="Times New Roman"/>
          <w:bCs/>
          <w:sz w:val="22"/>
          <w:szCs w:val="22"/>
        </w:rPr>
        <w:t>Обзиром да за 201</w:t>
      </w:r>
      <w:r w:rsidR="00EE7D3A">
        <w:rPr>
          <w:rFonts w:ascii="Times New Roman" w:hAnsi="Times New Roman" w:cs="Times New Roman"/>
          <w:bCs/>
          <w:sz w:val="22"/>
          <w:szCs w:val="22"/>
          <w:lang w:val="sr-Cyrl-CS"/>
        </w:rPr>
        <w:t>8</w:t>
      </w:r>
      <w:r w:rsidRPr="00D16CF9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D16CF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D16CF9">
        <w:rPr>
          <w:rFonts w:ascii="Times New Roman" w:hAnsi="Times New Roman" w:cs="Times New Roman"/>
          <w:bCs/>
          <w:sz w:val="22"/>
          <w:szCs w:val="22"/>
        </w:rPr>
        <w:t>годину</w:t>
      </w:r>
      <w:proofErr w:type="gramEnd"/>
      <w:r w:rsidRPr="00D16CF9">
        <w:rPr>
          <w:rFonts w:ascii="Times New Roman" w:hAnsi="Times New Roman" w:cs="Times New Roman"/>
          <w:bCs/>
          <w:sz w:val="22"/>
          <w:szCs w:val="22"/>
        </w:rPr>
        <w:t xml:space="preserve"> нема података о предвиђеним макроекономским</w:t>
      </w:r>
      <w:r w:rsidRPr="00D16CF9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D16CF9">
        <w:rPr>
          <w:rFonts w:ascii="Times New Roman" w:hAnsi="Times New Roman" w:cs="Times New Roman"/>
          <w:bCs/>
          <w:sz w:val="22"/>
          <w:szCs w:val="22"/>
        </w:rPr>
        <w:t>кретањима БДП-а, процена за ову годину је рађена на бази кретања ових индикатора за 201</w:t>
      </w:r>
      <w:r w:rsidR="00EE7D3A">
        <w:rPr>
          <w:rFonts w:ascii="Times New Roman" w:hAnsi="Times New Roman" w:cs="Times New Roman"/>
          <w:bCs/>
          <w:sz w:val="22"/>
          <w:szCs w:val="22"/>
          <w:lang w:val="sr-Cyrl-CS"/>
        </w:rPr>
        <w:t>7</w:t>
      </w:r>
      <w:r w:rsidRPr="00D16CF9">
        <w:rPr>
          <w:rFonts w:ascii="Times New Roman" w:hAnsi="Times New Roman" w:cs="Times New Roman"/>
          <w:bCs/>
          <w:sz w:val="22"/>
          <w:szCs w:val="22"/>
        </w:rPr>
        <w:t>.</w:t>
      </w:r>
      <w:r w:rsidRPr="00D16CF9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proofErr w:type="gramStart"/>
      <w:r w:rsidRPr="00D16CF9">
        <w:rPr>
          <w:rFonts w:ascii="Times New Roman" w:hAnsi="Times New Roman" w:cs="Times New Roman"/>
          <w:bCs/>
          <w:sz w:val="22"/>
          <w:szCs w:val="22"/>
        </w:rPr>
        <w:t>годину</w:t>
      </w:r>
      <w:proofErr w:type="gramEnd"/>
      <w:r w:rsidRPr="00D16CF9">
        <w:rPr>
          <w:rFonts w:ascii="Times New Roman" w:hAnsi="Times New Roman" w:cs="Times New Roman"/>
          <w:bCs/>
          <w:sz w:val="22"/>
          <w:szCs w:val="22"/>
        </w:rPr>
        <w:t>.</w:t>
      </w:r>
    </w:p>
    <w:p w:rsidR="00E65557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D16CF9">
        <w:rPr>
          <w:rFonts w:ascii="Times New Roman" w:hAnsi="Times New Roman" w:cs="Times New Roman"/>
          <w:bCs/>
          <w:sz w:val="22"/>
          <w:szCs w:val="22"/>
        </w:rPr>
        <w:t>Процена буџетских прихода и примања за 201</w:t>
      </w:r>
      <w:r w:rsidR="00EE7D3A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D16CF9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D16CF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D16CF9">
        <w:rPr>
          <w:rFonts w:ascii="Times New Roman" w:hAnsi="Times New Roman" w:cs="Times New Roman"/>
          <w:bCs/>
          <w:sz w:val="22"/>
          <w:szCs w:val="22"/>
        </w:rPr>
        <w:t>годину</w:t>
      </w:r>
      <w:proofErr w:type="gramEnd"/>
      <w:r w:rsidRPr="00D16CF9">
        <w:rPr>
          <w:rFonts w:ascii="Times New Roman" w:hAnsi="Times New Roman" w:cs="Times New Roman"/>
          <w:bCs/>
          <w:sz w:val="22"/>
          <w:szCs w:val="22"/>
        </w:rPr>
        <w:t>, као што је видљиво из</w:t>
      </w:r>
      <w:r w:rsidRPr="00D16CF9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D16CF9">
        <w:rPr>
          <w:rFonts w:ascii="Times New Roman" w:hAnsi="Times New Roman" w:cs="Times New Roman"/>
          <w:bCs/>
          <w:sz w:val="22"/>
          <w:szCs w:val="22"/>
        </w:rPr>
        <w:t xml:space="preserve">табеларног прегледа, </w:t>
      </w:r>
      <w:r w:rsidRPr="00E857AB">
        <w:rPr>
          <w:rFonts w:ascii="Times New Roman" w:hAnsi="Times New Roman" w:cs="Times New Roman"/>
          <w:bCs/>
          <w:sz w:val="22"/>
          <w:szCs w:val="22"/>
        </w:rPr>
        <w:t xml:space="preserve">износи </w:t>
      </w:r>
      <w:r w:rsidR="00154BFA">
        <w:rPr>
          <w:rFonts w:ascii="Times New Roman" w:hAnsi="Times New Roman" w:cs="Times New Roman"/>
          <w:b/>
          <w:bCs/>
          <w:sz w:val="22"/>
          <w:szCs w:val="22"/>
        </w:rPr>
        <w:t>697</w:t>
      </w:r>
      <w:r w:rsidRPr="00E857AB">
        <w:rPr>
          <w:rFonts w:ascii="Times New Roman" w:hAnsi="Times New Roman" w:cs="Times New Roman"/>
          <w:b/>
          <w:bCs/>
          <w:sz w:val="22"/>
          <w:szCs w:val="22"/>
        </w:rPr>
        <w:t>.000,00</w:t>
      </w:r>
      <w:r w:rsidRPr="00D16CF9">
        <w:rPr>
          <w:rFonts w:ascii="Times New Roman" w:hAnsi="Times New Roman" w:cs="Times New Roman"/>
          <w:bCs/>
          <w:sz w:val="22"/>
          <w:szCs w:val="22"/>
        </w:rPr>
        <w:t xml:space="preserve"> динара. </w:t>
      </w:r>
      <w:proofErr w:type="gramStart"/>
      <w:r w:rsidRPr="00D16CF9">
        <w:rPr>
          <w:rFonts w:ascii="Times New Roman" w:hAnsi="Times New Roman" w:cs="Times New Roman"/>
          <w:bCs/>
          <w:sz w:val="22"/>
          <w:szCs w:val="22"/>
        </w:rPr>
        <w:t>Уколико се на наведени износ укључи</w:t>
      </w:r>
      <w:r w:rsidRPr="00D16CF9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D16CF9">
        <w:rPr>
          <w:rFonts w:ascii="Times New Roman" w:hAnsi="Times New Roman" w:cs="Times New Roman"/>
          <w:bCs/>
          <w:sz w:val="22"/>
          <w:szCs w:val="22"/>
        </w:rPr>
        <w:t xml:space="preserve">процена прихода </w:t>
      </w:r>
      <w:r w:rsidR="00F75BC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корисника буџета из других извора финансирања </w:t>
      </w:r>
      <w:r w:rsidRPr="00D16CF9">
        <w:rPr>
          <w:rFonts w:ascii="Times New Roman" w:hAnsi="Times New Roman" w:cs="Times New Roman"/>
          <w:bCs/>
          <w:sz w:val="22"/>
          <w:szCs w:val="22"/>
        </w:rPr>
        <w:t>за 201</w:t>
      </w:r>
      <w:r w:rsidR="00EE7D3A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D16CF9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D16CF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D16CF9">
        <w:rPr>
          <w:rFonts w:ascii="Times New Roman" w:hAnsi="Times New Roman" w:cs="Times New Roman"/>
          <w:bCs/>
          <w:sz w:val="22"/>
          <w:szCs w:val="22"/>
        </w:rPr>
        <w:t>годину</w:t>
      </w:r>
      <w:proofErr w:type="gramEnd"/>
      <w:r w:rsidRPr="00D16CF9">
        <w:rPr>
          <w:rFonts w:ascii="Times New Roman" w:hAnsi="Times New Roman" w:cs="Times New Roman"/>
          <w:bCs/>
          <w:sz w:val="22"/>
          <w:szCs w:val="22"/>
        </w:rPr>
        <w:t xml:space="preserve"> у износу од </w:t>
      </w:r>
      <w:r w:rsidR="00F75BC8">
        <w:rPr>
          <w:rFonts w:ascii="Times New Roman" w:hAnsi="Times New Roman" w:cs="Times New Roman"/>
          <w:bCs/>
          <w:sz w:val="22"/>
          <w:szCs w:val="22"/>
          <w:lang w:val="sr-Cyrl-CS"/>
        </w:rPr>
        <w:t>4</w:t>
      </w:r>
      <w:r>
        <w:rPr>
          <w:rFonts w:ascii="Times New Roman" w:hAnsi="Times New Roman" w:cs="Times New Roman"/>
          <w:bCs/>
          <w:sz w:val="22"/>
          <w:szCs w:val="22"/>
        </w:rPr>
        <w:t>5</w:t>
      </w:r>
      <w:r w:rsidRPr="00D16CF9">
        <w:rPr>
          <w:rFonts w:ascii="Times New Roman" w:hAnsi="Times New Roman" w:cs="Times New Roman"/>
          <w:bCs/>
          <w:sz w:val="22"/>
          <w:szCs w:val="22"/>
        </w:rPr>
        <w:t>.000,00 динара, укупно</w:t>
      </w:r>
      <w:r w:rsidRPr="00D16CF9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D16CF9">
        <w:rPr>
          <w:rFonts w:ascii="Times New Roman" w:hAnsi="Times New Roman" w:cs="Times New Roman"/>
          <w:bCs/>
          <w:sz w:val="22"/>
          <w:szCs w:val="22"/>
        </w:rPr>
        <w:t>пројектовани приходи и примања за 201</w:t>
      </w:r>
      <w:r w:rsidR="00C72D5F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D16CF9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gramStart"/>
      <w:r w:rsidRPr="00D16CF9">
        <w:rPr>
          <w:rFonts w:ascii="Times New Roman" w:hAnsi="Times New Roman" w:cs="Times New Roman"/>
          <w:bCs/>
          <w:sz w:val="22"/>
          <w:szCs w:val="22"/>
        </w:rPr>
        <w:t>годину</w:t>
      </w:r>
      <w:proofErr w:type="gramEnd"/>
      <w:r w:rsidRPr="00D16CF9">
        <w:rPr>
          <w:rFonts w:ascii="Times New Roman" w:hAnsi="Times New Roman" w:cs="Times New Roman"/>
          <w:bCs/>
          <w:sz w:val="22"/>
          <w:szCs w:val="22"/>
        </w:rPr>
        <w:t xml:space="preserve"> износе </w:t>
      </w:r>
      <w:r w:rsidR="00F75BC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7</w:t>
      </w:r>
      <w:r w:rsidR="00154BFA">
        <w:rPr>
          <w:rFonts w:ascii="Times New Roman" w:hAnsi="Times New Roman" w:cs="Times New Roman"/>
          <w:b/>
          <w:bCs/>
          <w:sz w:val="22"/>
          <w:szCs w:val="22"/>
        </w:rPr>
        <w:t>42</w:t>
      </w:r>
      <w:r w:rsidRPr="00F70269">
        <w:rPr>
          <w:rFonts w:ascii="Times New Roman" w:hAnsi="Times New Roman" w:cs="Times New Roman"/>
          <w:b/>
          <w:bCs/>
          <w:sz w:val="22"/>
          <w:szCs w:val="22"/>
        </w:rPr>
        <w:t>.000,00 динара</w:t>
      </w:r>
      <w:r w:rsidRPr="00D16CF9">
        <w:rPr>
          <w:rFonts w:ascii="Times New Roman" w:hAnsi="Times New Roman" w:cs="Times New Roman"/>
          <w:bCs/>
          <w:sz w:val="22"/>
          <w:szCs w:val="22"/>
        </w:rPr>
        <w:t>.</w:t>
      </w:r>
    </w:p>
    <w:p w:rsidR="00E65557" w:rsidRPr="00FE0069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  <w:r>
        <w:rPr>
          <w:rFonts w:ascii="Times New Roman" w:hAnsi="Times New Roman" w:cs="Times New Roman"/>
          <w:bCs/>
          <w:sz w:val="22"/>
          <w:szCs w:val="22"/>
          <w:lang w:val="sr-Cyrl-CS"/>
        </w:rPr>
        <w:t>П</w:t>
      </w:r>
      <w:r w:rsidR="00F75BC8">
        <w:rPr>
          <w:rFonts w:ascii="Times New Roman" w:hAnsi="Times New Roman" w:cs="Times New Roman"/>
          <w:bCs/>
          <w:sz w:val="22"/>
          <w:szCs w:val="22"/>
          <w:lang w:val="sr-Cyrl-CS"/>
        </w:rPr>
        <w:t>ораст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јавних прихода</w:t>
      </w:r>
      <w:r w:rsidR="00F75BC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у наредној буџетској години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резултат је превасходно </w:t>
      </w:r>
      <w:r w:rsidR="00F75BC8">
        <w:rPr>
          <w:rFonts w:ascii="Times New Roman" w:hAnsi="Times New Roman" w:cs="Times New Roman"/>
          <w:bCs/>
          <w:sz w:val="22"/>
          <w:szCs w:val="22"/>
          <w:lang w:val="sr-Cyrl-CS"/>
        </w:rPr>
        <w:t>продаје имовине односно отуђења непокретности на КП 500/1 и 500/3 уписаним у ЛН 1063  КО Лепеница.</w:t>
      </w:r>
    </w:p>
    <w:p w:rsidR="00E65557" w:rsidRPr="00C7154D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F75BC8">
        <w:rPr>
          <w:rFonts w:ascii="Times New Roman" w:hAnsi="Times New Roman" w:cs="Times New Roman"/>
          <w:bCs/>
          <w:sz w:val="22"/>
          <w:szCs w:val="22"/>
        </w:rPr>
        <w:lastRenderedPageBreak/>
        <w:t>Потребно је напоменути да у наведену процену средстава за 201</w:t>
      </w:r>
      <w:r w:rsidR="00EE7D3A" w:rsidRPr="00F75BC8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F75BC8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F75BC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F75BC8">
        <w:rPr>
          <w:rFonts w:ascii="Times New Roman" w:hAnsi="Times New Roman" w:cs="Times New Roman"/>
          <w:bCs/>
          <w:sz w:val="22"/>
          <w:szCs w:val="22"/>
        </w:rPr>
        <w:t>годину</w:t>
      </w:r>
      <w:proofErr w:type="gramEnd"/>
      <w:r w:rsidRPr="00F75BC8">
        <w:rPr>
          <w:rFonts w:ascii="Times New Roman" w:hAnsi="Times New Roman" w:cs="Times New Roman"/>
          <w:bCs/>
          <w:sz w:val="22"/>
          <w:szCs w:val="22"/>
        </w:rPr>
        <w:t xml:space="preserve"> нису</w:t>
      </w:r>
      <w:r w:rsidRPr="00F75BC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F75BC8">
        <w:rPr>
          <w:rFonts w:ascii="Times New Roman" w:hAnsi="Times New Roman" w:cs="Times New Roman"/>
          <w:bCs/>
          <w:sz w:val="22"/>
          <w:szCs w:val="22"/>
        </w:rPr>
        <w:t>укључени евентуални трансфери од надлежних Министарства уколико се одобре средства за</w:t>
      </w:r>
      <w:r w:rsidRPr="00F75BC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F75BC8">
        <w:rPr>
          <w:rFonts w:ascii="Times New Roman" w:hAnsi="Times New Roman" w:cs="Times New Roman"/>
          <w:bCs/>
          <w:sz w:val="22"/>
          <w:szCs w:val="22"/>
        </w:rPr>
        <w:t xml:space="preserve">финансирање </w:t>
      </w:r>
      <w:r w:rsidRPr="00C7154D">
        <w:rPr>
          <w:rFonts w:ascii="Times New Roman" w:hAnsi="Times New Roman" w:cs="Times New Roman"/>
          <w:bCs/>
          <w:sz w:val="22"/>
          <w:szCs w:val="22"/>
        </w:rPr>
        <w:t>пројеката за која корисници буду конкурисали.</w:t>
      </w:r>
    </w:p>
    <w:p w:rsidR="00E65557" w:rsidRPr="00C7154D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C7154D">
        <w:rPr>
          <w:rFonts w:ascii="Times New Roman" w:hAnsi="Times New Roman" w:cs="Times New Roman"/>
          <w:bCs/>
          <w:sz w:val="22"/>
          <w:szCs w:val="22"/>
        </w:rPr>
        <w:t>Такође, процена обима буџета за 201</w:t>
      </w:r>
      <w:r w:rsidR="00EE7D3A" w:rsidRPr="00C7154D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C7154D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C7154D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C7154D">
        <w:rPr>
          <w:rFonts w:ascii="Times New Roman" w:hAnsi="Times New Roman" w:cs="Times New Roman"/>
          <w:bCs/>
          <w:sz w:val="22"/>
          <w:szCs w:val="22"/>
        </w:rPr>
        <w:t>годину</w:t>
      </w:r>
      <w:proofErr w:type="gramEnd"/>
      <w:r w:rsidRPr="00C7154D">
        <w:rPr>
          <w:rFonts w:ascii="Times New Roman" w:hAnsi="Times New Roman" w:cs="Times New Roman"/>
          <w:bCs/>
          <w:sz w:val="22"/>
          <w:szCs w:val="22"/>
        </w:rPr>
        <w:t xml:space="preserve"> и наредне две године извршена је под</w:t>
      </w:r>
      <w:r w:rsidRPr="00C7154D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7154D">
        <w:rPr>
          <w:rFonts w:ascii="Times New Roman" w:hAnsi="Times New Roman" w:cs="Times New Roman"/>
          <w:bCs/>
          <w:sz w:val="22"/>
          <w:szCs w:val="22"/>
        </w:rPr>
        <w:t xml:space="preserve">условом да се буџет </w:t>
      </w:r>
      <w:r w:rsidRPr="00C7154D">
        <w:rPr>
          <w:rFonts w:ascii="Times New Roman" w:hAnsi="Times New Roman" w:cs="Times New Roman"/>
          <w:bCs/>
          <w:sz w:val="22"/>
          <w:szCs w:val="22"/>
          <w:lang w:val="sr-Cyrl-CS"/>
        </w:rPr>
        <w:t>Општине Владичин Хан</w:t>
      </w:r>
      <w:r w:rsidRPr="00C7154D">
        <w:rPr>
          <w:rFonts w:ascii="Times New Roman" w:hAnsi="Times New Roman" w:cs="Times New Roman"/>
          <w:bCs/>
          <w:sz w:val="22"/>
          <w:szCs w:val="22"/>
        </w:rPr>
        <w:t xml:space="preserve"> додатно не задужује код пословних банака.</w:t>
      </w:r>
    </w:p>
    <w:p w:rsidR="00E65557" w:rsidRPr="00C7154D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C7154D">
        <w:rPr>
          <w:rFonts w:ascii="Times New Roman" w:hAnsi="Times New Roman" w:cs="Times New Roman"/>
          <w:bCs/>
          <w:sz w:val="22"/>
          <w:szCs w:val="22"/>
        </w:rPr>
        <w:t>При дефинисању буџетске потрошње из пројектованих прихода за наредну годину, у</w:t>
      </w:r>
      <w:r w:rsidRPr="00C7154D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7154D">
        <w:rPr>
          <w:rFonts w:ascii="Times New Roman" w:hAnsi="Times New Roman" w:cs="Times New Roman"/>
          <w:bCs/>
          <w:sz w:val="22"/>
          <w:szCs w:val="22"/>
        </w:rPr>
        <w:t>обзир се мора узети износ ануитета по кредитном задужењу који доспева на наплату у 201</w:t>
      </w:r>
      <w:r w:rsidR="00EE7D3A" w:rsidRPr="00C7154D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C7154D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C7154D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proofErr w:type="gramStart"/>
      <w:r w:rsidRPr="00C7154D">
        <w:rPr>
          <w:rFonts w:ascii="Times New Roman" w:hAnsi="Times New Roman" w:cs="Times New Roman"/>
          <w:bCs/>
          <w:sz w:val="22"/>
          <w:szCs w:val="22"/>
        </w:rPr>
        <w:t>години</w:t>
      </w:r>
      <w:proofErr w:type="gramEnd"/>
      <w:r w:rsidRPr="00C7154D">
        <w:rPr>
          <w:rFonts w:ascii="Times New Roman" w:hAnsi="Times New Roman" w:cs="Times New Roman"/>
          <w:bCs/>
          <w:sz w:val="22"/>
          <w:szCs w:val="22"/>
        </w:rPr>
        <w:t xml:space="preserve">, а исти износи </w:t>
      </w:r>
      <w:r w:rsidR="00857866" w:rsidRPr="00C7154D">
        <w:rPr>
          <w:rFonts w:ascii="Times New Roman" w:hAnsi="Times New Roman" w:cs="Times New Roman"/>
          <w:bCs/>
          <w:sz w:val="22"/>
          <w:szCs w:val="22"/>
          <w:lang w:val="sr-Cyrl-CS"/>
        </w:rPr>
        <w:t>6.997</w:t>
      </w:r>
      <w:r w:rsidRPr="00C7154D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7154D">
        <w:rPr>
          <w:rFonts w:ascii="Times New Roman" w:hAnsi="Times New Roman" w:cs="Times New Roman"/>
          <w:bCs/>
          <w:sz w:val="22"/>
          <w:szCs w:val="22"/>
        </w:rPr>
        <w:t xml:space="preserve"> милиона динара.</w:t>
      </w:r>
    </w:p>
    <w:p w:rsidR="00E65557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  <w:proofErr w:type="gramStart"/>
      <w:r w:rsidRPr="00C7154D">
        <w:rPr>
          <w:rFonts w:ascii="Times New Roman" w:hAnsi="Times New Roman" w:cs="Times New Roman"/>
          <w:bCs/>
          <w:sz w:val="22"/>
          <w:szCs w:val="22"/>
        </w:rPr>
        <w:t>Из наведених средстава финансираће се редовна</w:t>
      </w:r>
      <w:r w:rsidRPr="00A41E89">
        <w:rPr>
          <w:rFonts w:ascii="Times New Roman" w:hAnsi="Times New Roman" w:cs="Times New Roman"/>
          <w:bCs/>
          <w:sz w:val="22"/>
          <w:szCs w:val="22"/>
        </w:rPr>
        <w:t xml:space="preserve"> потрошња буџетских корисника у</w:t>
      </w:r>
      <w:r w:rsidRPr="00A41E89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A41E89">
        <w:rPr>
          <w:rFonts w:ascii="Times New Roman" w:hAnsi="Times New Roman" w:cs="Times New Roman"/>
          <w:bCs/>
          <w:sz w:val="22"/>
          <w:szCs w:val="22"/>
        </w:rPr>
        <w:t>201</w:t>
      </w:r>
      <w:r w:rsidR="00EE7D3A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A41E89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A41E8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A41E89">
        <w:rPr>
          <w:rFonts w:ascii="Times New Roman" w:hAnsi="Times New Roman" w:cs="Times New Roman"/>
          <w:bCs/>
          <w:sz w:val="22"/>
          <w:szCs w:val="22"/>
        </w:rPr>
        <w:t>и</w:t>
      </w:r>
      <w:proofErr w:type="gramEnd"/>
      <w:r w:rsidRPr="00A41E89">
        <w:rPr>
          <w:rFonts w:ascii="Times New Roman" w:hAnsi="Times New Roman" w:cs="Times New Roman"/>
          <w:bCs/>
          <w:sz w:val="22"/>
          <w:szCs w:val="22"/>
        </w:rPr>
        <w:t xml:space="preserve"> наредне две године, расходи предвиђени програмима коришћења наменских</w:t>
      </w:r>
      <w:r w:rsidRPr="00A41E89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A41E89">
        <w:rPr>
          <w:rFonts w:ascii="Times New Roman" w:hAnsi="Times New Roman" w:cs="Times New Roman"/>
          <w:bCs/>
          <w:sz w:val="22"/>
          <w:szCs w:val="22"/>
        </w:rPr>
        <w:t>средстава и измирење вишегодишњих обавеза.</w:t>
      </w:r>
    </w:p>
    <w:p w:rsidR="00E65557" w:rsidRPr="00294CB2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</w:p>
    <w:p w:rsidR="00E65557" w:rsidRPr="00B8793B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B8793B">
        <w:rPr>
          <w:rFonts w:ascii="Times New Roman" w:hAnsi="Times New Roman" w:cs="Times New Roman"/>
          <w:b/>
          <w:bCs/>
          <w:sz w:val="22"/>
          <w:szCs w:val="22"/>
        </w:rPr>
        <w:t>Табела-</w:t>
      </w:r>
      <w:r w:rsidRPr="00B8793B">
        <w:rPr>
          <w:rFonts w:ascii="Times New Roman" w:hAnsi="Times New Roman" w:cs="Times New Roman"/>
          <w:b/>
          <w:bCs/>
          <w:i/>
          <w:iCs/>
          <w:sz w:val="22"/>
          <w:szCs w:val="22"/>
        </w:rPr>
        <w:t>Пројекција расхода и издатака у периоду од 201</w:t>
      </w:r>
      <w:r w:rsidR="00EE7D3A" w:rsidRPr="00B8793B">
        <w:rPr>
          <w:rFonts w:ascii="Times New Roman" w:hAnsi="Times New Roman" w:cs="Times New Roman"/>
          <w:b/>
          <w:bCs/>
          <w:i/>
          <w:iCs/>
          <w:sz w:val="22"/>
          <w:szCs w:val="22"/>
          <w:lang w:val="sr-Cyrl-CS"/>
        </w:rPr>
        <w:t>6</w:t>
      </w:r>
      <w:r w:rsidRPr="00B8793B">
        <w:rPr>
          <w:rFonts w:ascii="Times New Roman" w:hAnsi="Times New Roman" w:cs="Times New Roman"/>
          <w:b/>
          <w:bCs/>
          <w:i/>
          <w:iCs/>
          <w:sz w:val="22"/>
          <w:szCs w:val="22"/>
        </w:rPr>
        <w:t>.</w:t>
      </w:r>
      <w:proofErr w:type="gramEnd"/>
      <w:r w:rsidRPr="00B8793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gramStart"/>
      <w:r w:rsidRPr="00B8793B">
        <w:rPr>
          <w:rFonts w:ascii="Times New Roman" w:hAnsi="Times New Roman" w:cs="Times New Roman"/>
          <w:b/>
          <w:bCs/>
          <w:i/>
          <w:iCs/>
          <w:sz w:val="22"/>
          <w:szCs w:val="22"/>
        </w:rPr>
        <w:t>до</w:t>
      </w:r>
      <w:proofErr w:type="gramEnd"/>
      <w:r w:rsidRPr="00B8793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201</w:t>
      </w:r>
      <w:r w:rsidR="00EE7D3A" w:rsidRPr="00B8793B">
        <w:rPr>
          <w:rFonts w:ascii="Times New Roman" w:hAnsi="Times New Roman" w:cs="Times New Roman"/>
          <w:b/>
          <w:bCs/>
          <w:i/>
          <w:iCs/>
          <w:sz w:val="22"/>
          <w:szCs w:val="22"/>
          <w:lang w:val="sr-Cyrl-CS"/>
        </w:rPr>
        <w:t>8</w:t>
      </w:r>
      <w:r w:rsidRPr="00B8793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. </w:t>
      </w:r>
      <w:r w:rsidRPr="00B8793B">
        <w:rPr>
          <w:rFonts w:ascii="Times New Roman" w:hAnsi="Times New Roman" w:cs="Times New Roman"/>
          <w:b/>
          <w:bCs/>
          <w:i/>
          <w:iCs/>
          <w:sz w:val="22"/>
          <w:szCs w:val="22"/>
          <w:lang w:val="sr-Cyrl-CS"/>
        </w:rPr>
        <w:t>г</w:t>
      </w:r>
      <w:r w:rsidRPr="00B8793B">
        <w:rPr>
          <w:rFonts w:ascii="Times New Roman" w:hAnsi="Times New Roman" w:cs="Times New Roman"/>
          <w:b/>
          <w:bCs/>
          <w:i/>
          <w:iCs/>
          <w:sz w:val="22"/>
          <w:szCs w:val="22"/>
        </w:rPr>
        <w:t>одине</w:t>
      </w:r>
      <w:r w:rsidRPr="00B8793B">
        <w:rPr>
          <w:rFonts w:ascii="Times New Roman" w:hAnsi="Times New Roman" w:cs="Times New Roman"/>
          <w:b/>
          <w:bCs/>
          <w:i/>
          <w:iCs/>
          <w:sz w:val="22"/>
          <w:szCs w:val="22"/>
          <w:lang w:val="sr-Cyrl-CS"/>
        </w:rPr>
        <w:t xml:space="preserve"> </w:t>
      </w:r>
      <w:r w:rsidRPr="00B8793B">
        <w:rPr>
          <w:rFonts w:ascii="Times New Roman" w:hAnsi="Times New Roman" w:cs="Times New Roman"/>
          <w:b/>
          <w:bCs/>
          <w:sz w:val="16"/>
          <w:szCs w:val="16"/>
        </w:rPr>
        <w:t xml:space="preserve"> ( у 000</w:t>
      </w:r>
      <w:r w:rsidRPr="00B8793B">
        <w:rPr>
          <w:rFonts w:ascii="Times New Roman" w:hAnsi="Times New Roman" w:cs="Times New Roman"/>
          <w:b/>
          <w:bCs/>
          <w:sz w:val="16"/>
          <w:szCs w:val="16"/>
          <w:lang w:val="sr-Cyrl-CS"/>
        </w:rPr>
        <w:t xml:space="preserve">  </w:t>
      </w:r>
      <w:r w:rsidRPr="00B8793B">
        <w:rPr>
          <w:rFonts w:ascii="Times New Roman" w:hAnsi="Times New Roman" w:cs="Times New Roman"/>
          <w:b/>
          <w:bCs/>
          <w:sz w:val="16"/>
          <w:szCs w:val="16"/>
        </w:rPr>
        <w:t>динара)</w:t>
      </w:r>
    </w:p>
    <w:p w:rsidR="00E65557" w:rsidRPr="00B8793B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</w:p>
    <w:tbl>
      <w:tblPr>
        <w:tblStyle w:val="TableGrid"/>
        <w:tblW w:w="9812" w:type="dxa"/>
        <w:tblLook w:val="04A0"/>
      </w:tblPr>
      <w:tblGrid>
        <w:gridCol w:w="3313"/>
        <w:gridCol w:w="1340"/>
        <w:gridCol w:w="1157"/>
        <w:gridCol w:w="1346"/>
        <w:gridCol w:w="1346"/>
        <w:gridCol w:w="1310"/>
      </w:tblGrid>
      <w:tr w:rsidR="00E65557" w:rsidRPr="00B8793B" w:rsidTr="005E7B40">
        <w:tc>
          <w:tcPr>
            <w:tcW w:w="3438" w:type="dxa"/>
          </w:tcPr>
          <w:p w:rsidR="00E65557" w:rsidRPr="00B8793B" w:rsidRDefault="00E65557" w:rsidP="005E7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РАСХОДИ</w:t>
            </w: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 ИЗДАЦИ</w:t>
            </w:r>
          </w:p>
          <w:p w:rsidR="00E65557" w:rsidRPr="00B8793B" w:rsidRDefault="00E65557" w:rsidP="005E7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 у 000</w:t>
            </w: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 xml:space="preserve"> динара)</w:t>
            </w:r>
          </w:p>
        </w:tc>
        <w:tc>
          <w:tcPr>
            <w:tcW w:w="1350" w:type="dxa"/>
            <w:vAlign w:val="center"/>
          </w:tcPr>
          <w:p w:rsidR="00E65557" w:rsidRPr="00B8793B" w:rsidRDefault="00E65557" w:rsidP="00EE7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201</w:t>
            </w:r>
            <w:r w:rsidR="00EE7D3A"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4</w:t>
            </w: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 остварење</w:t>
            </w:r>
          </w:p>
        </w:tc>
        <w:tc>
          <w:tcPr>
            <w:tcW w:w="1170" w:type="dxa"/>
            <w:vAlign w:val="center"/>
          </w:tcPr>
          <w:p w:rsidR="00E65557" w:rsidRPr="00B8793B" w:rsidRDefault="00E65557" w:rsidP="00EE7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201</w:t>
            </w:r>
            <w:r w:rsidR="00EE7D3A"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5</w:t>
            </w: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 процена</w:t>
            </w:r>
          </w:p>
        </w:tc>
        <w:tc>
          <w:tcPr>
            <w:tcW w:w="1350" w:type="dxa"/>
            <w:vAlign w:val="center"/>
          </w:tcPr>
          <w:p w:rsidR="00E65557" w:rsidRPr="00B8793B" w:rsidRDefault="00E65557" w:rsidP="00EE7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201</w:t>
            </w:r>
            <w:r w:rsidR="00EE7D3A"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6</w:t>
            </w: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 пројекција</w:t>
            </w:r>
          </w:p>
        </w:tc>
        <w:tc>
          <w:tcPr>
            <w:tcW w:w="1350" w:type="dxa"/>
          </w:tcPr>
          <w:p w:rsidR="00E65557" w:rsidRPr="00B8793B" w:rsidRDefault="00E65557" w:rsidP="00EE7D3A">
            <w:pPr>
              <w:jc w:val="center"/>
              <w:rPr>
                <w:b/>
              </w:rPr>
            </w:pP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201</w:t>
            </w:r>
            <w:r w:rsidR="00EE7D3A"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7</w:t>
            </w: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 пројекција</w:t>
            </w:r>
          </w:p>
        </w:tc>
        <w:tc>
          <w:tcPr>
            <w:tcW w:w="1154" w:type="dxa"/>
          </w:tcPr>
          <w:p w:rsidR="00E65557" w:rsidRPr="00B8793B" w:rsidRDefault="00E65557" w:rsidP="00EE7D3A">
            <w:pPr>
              <w:jc w:val="center"/>
              <w:rPr>
                <w:b/>
              </w:rPr>
            </w:pP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201</w:t>
            </w:r>
            <w:r w:rsidR="00EE7D3A"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8</w:t>
            </w: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 пројекција</w:t>
            </w:r>
          </w:p>
        </w:tc>
      </w:tr>
      <w:tr w:rsidR="00E65557" w:rsidRPr="00B8793B" w:rsidTr="005E7B40">
        <w:tc>
          <w:tcPr>
            <w:tcW w:w="3438" w:type="dxa"/>
          </w:tcPr>
          <w:p w:rsidR="00E65557" w:rsidRPr="00B8793B" w:rsidRDefault="00E65557" w:rsidP="005E7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Укупни расходи и издаци</w:t>
            </w:r>
          </w:p>
        </w:tc>
        <w:tc>
          <w:tcPr>
            <w:tcW w:w="1350" w:type="dxa"/>
            <w:vAlign w:val="center"/>
          </w:tcPr>
          <w:p w:rsidR="00E65557" w:rsidRPr="00B8793B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170" w:type="dxa"/>
            <w:vAlign w:val="center"/>
          </w:tcPr>
          <w:p w:rsidR="00E65557" w:rsidRPr="00B8793B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:rsidR="00E65557" w:rsidRPr="00B8793B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:rsidR="00E65557" w:rsidRPr="00B8793B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vAlign w:val="center"/>
          </w:tcPr>
          <w:p w:rsidR="00E65557" w:rsidRPr="00B8793B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</w:tr>
      <w:tr w:rsidR="00E65557" w:rsidRPr="00B8793B" w:rsidTr="005E7B40">
        <w:tc>
          <w:tcPr>
            <w:tcW w:w="3438" w:type="dxa"/>
          </w:tcPr>
          <w:p w:rsidR="00E65557" w:rsidRPr="00B8793B" w:rsidRDefault="00E65557" w:rsidP="005E7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1. Текући расходи (1.1</w:t>
            </w:r>
            <w:proofErr w:type="gramStart"/>
            <w:r w:rsidRPr="00B879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.+</w:t>
            </w:r>
            <w:proofErr w:type="gramEnd"/>
            <w:r w:rsidRPr="00B879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…+1.7.)</w:t>
            </w:r>
          </w:p>
        </w:tc>
        <w:tc>
          <w:tcPr>
            <w:tcW w:w="1350" w:type="dxa"/>
            <w:vAlign w:val="center"/>
          </w:tcPr>
          <w:p w:rsidR="00E65557" w:rsidRPr="00B8793B" w:rsidRDefault="00E65557" w:rsidP="005C28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4</w:t>
            </w:r>
            <w:r w:rsidR="005C287F"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50</w:t>
            </w: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</w:t>
            </w:r>
            <w:r w:rsidR="005C287F"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025</w:t>
            </w:r>
          </w:p>
        </w:tc>
        <w:tc>
          <w:tcPr>
            <w:tcW w:w="1170" w:type="dxa"/>
            <w:vAlign w:val="center"/>
          </w:tcPr>
          <w:p w:rsidR="00E65557" w:rsidRPr="00B8793B" w:rsidRDefault="00531768" w:rsidP="005317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467</w:t>
            </w:r>
            <w:r w:rsidR="00E65557"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</w:t>
            </w: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98</w:t>
            </w:r>
            <w:r w:rsidR="00E65557"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50" w:type="dxa"/>
            <w:vAlign w:val="center"/>
          </w:tcPr>
          <w:p w:rsidR="00E65557" w:rsidRPr="00B8793B" w:rsidRDefault="00D46555" w:rsidP="00D465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510</w:t>
            </w:r>
            <w:r w:rsidR="00E65557"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="00E65557"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50" w:type="dxa"/>
            <w:vAlign w:val="center"/>
          </w:tcPr>
          <w:p w:rsidR="00E65557" w:rsidRPr="00B8793B" w:rsidRDefault="00E65557" w:rsidP="000E6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4</w:t>
            </w:r>
            <w:r w:rsidR="000E6E6D"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92</w:t>
            </w: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</w:t>
            </w:r>
            <w:r w:rsidR="000E6E6D"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00</w:t>
            </w: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54" w:type="dxa"/>
            <w:vAlign w:val="center"/>
          </w:tcPr>
          <w:p w:rsidR="00E65557" w:rsidRPr="00B8793B" w:rsidRDefault="00B8793B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507</w:t>
            </w:r>
            <w:r w:rsidR="00E65557"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.000</w:t>
            </w:r>
          </w:p>
        </w:tc>
      </w:tr>
      <w:tr w:rsidR="00E65557" w:rsidRPr="00B8793B" w:rsidTr="005E7B40">
        <w:tc>
          <w:tcPr>
            <w:tcW w:w="3438" w:type="dxa"/>
          </w:tcPr>
          <w:p w:rsidR="00E65557" w:rsidRPr="00B8793B" w:rsidRDefault="00E65557" w:rsidP="005E7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1.1. Расходи за запослене</w:t>
            </w:r>
          </w:p>
        </w:tc>
        <w:tc>
          <w:tcPr>
            <w:tcW w:w="1350" w:type="dxa"/>
            <w:vAlign w:val="center"/>
          </w:tcPr>
          <w:p w:rsidR="00E65557" w:rsidRPr="00B8793B" w:rsidRDefault="00E65557" w:rsidP="005C28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13</w:t>
            </w:r>
            <w:r w:rsidR="005C287F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6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</w:t>
            </w:r>
            <w:r w:rsidR="005C287F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992</w:t>
            </w:r>
          </w:p>
        </w:tc>
        <w:tc>
          <w:tcPr>
            <w:tcW w:w="1170" w:type="dxa"/>
            <w:vAlign w:val="center"/>
          </w:tcPr>
          <w:p w:rsidR="00E65557" w:rsidRPr="00B8793B" w:rsidRDefault="00E65557" w:rsidP="005317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</w:t>
            </w:r>
            <w:r w:rsidR="00531768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25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</w:t>
            </w:r>
            <w:r w:rsidR="00531768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83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50" w:type="dxa"/>
            <w:vAlign w:val="center"/>
          </w:tcPr>
          <w:p w:rsidR="00E65557" w:rsidRPr="00B8793B" w:rsidRDefault="00E65557" w:rsidP="00D465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</w:t>
            </w:r>
            <w:r w:rsidR="00D46555">
              <w:rPr>
                <w:rFonts w:ascii="Times New Roman" w:hAnsi="Times New Roman" w:cs="Times New Roman"/>
                <w:bCs/>
                <w:sz w:val="22"/>
                <w:szCs w:val="22"/>
              </w:rPr>
              <w:t>28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350" w:type="dxa"/>
            <w:vAlign w:val="center"/>
          </w:tcPr>
          <w:p w:rsidR="00E65557" w:rsidRPr="00B8793B" w:rsidRDefault="000E6E6D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135</w:t>
            </w:r>
            <w:r w:rsidR="00E65557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154" w:type="dxa"/>
            <w:vAlign w:val="center"/>
          </w:tcPr>
          <w:p w:rsidR="00E65557" w:rsidRPr="00B8793B" w:rsidRDefault="00E65557" w:rsidP="000E6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</w:t>
            </w:r>
            <w:r w:rsidR="000E6E6D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40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</w:tr>
      <w:tr w:rsidR="00E65557" w:rsidRPr="00B8793B" w:rsidTr="005E7B40">
        <w:tc>
          <w:tcPr>
            <w:tcW w:w="3438" w:type="dxa"/>
          </w:tcPr>
          <w:p w:rsidR="00E65557" w:rsidRPr="00B8793B" w:rsidRDefault="00E65557" w:rsidP="005E7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1.2. Коришћење роба и услуга</w:t>
            </w:r>
          </w:p>
        </w:tc>
        <w:tc>
          <w:tcPr>
            <w:tcW w:w="1350" w:type="dxa"/>
            <w:vAlign w:val="center"/>
          </w:tcPr>
          <w:p w:rsidR="00E65557" w:rsidRPr="00B8793B" w:rsidRDefault="00E65557" w:rsidP="005C28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14</w:t>
            </w:r>
            <w:r w:rsidR="005C287F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6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.3</w:t>
            </w:r>
            <w:r w:rsidR="005C287F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92</w:t>
            </w:r>
          </w:p>
        </w:tc>
        <w:tc>
          <w:tcPr>
            <w:tcW w:w="1170" w:type="dxa"/>
            <w:vAlign w:val="center"/>
          </w:tcPr>
          <w:p w:rsidR="00E65557" w:rsidRPr="00B8793B" w:rsidRDefault="00E65557" w:rsidP="005317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</w:t>
            </w:r>
            <w:r w:rsidR="00531768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53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.4</w:t>
            </w:r>
            <w:r w:rsidR="00531768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8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50" w:type="dxa"/>
            <w:vAlign w:val="center"/>
          </w:tcPr>
          <w:p w:rsidR="00E65557" w:rsidRPr="00B8793B" w:rsidRDefault="00E65557" w:rsidP="00D465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</w:t>
            </w:r>
            <w:r w:rsidR="00D46555">
              <w:rPr>
                <w:rFonts w:ascii="Times New Roman" w:hAnsi="Times New Roman" w:cs="Times New Roman"/>
                <w:bCs/>
                <w:sz w:val="22"/>
                <w:szCs w:val="22"/>
              </w:rPr>
              <w:t>75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350" w:type="dxa"/>
            <w:vAlign w:val="center"/>
          </w:tcPr>
          <w:p w:rsidR="00E65557" w:rsidRPr="00B8793B" w:rsidRDefault="00E65557" w:rsidP="000E6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</w:t>
            </w:r>
            <w:r w:rsidR="000E6E6D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7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0.000</w:t>
            </w:r>
          </w:p>
        </w:tc>
        <w:tc>
          <w:tcPr>
            <w:tcW w:w="1154" w:type="dxa"/>
            <w:vAlign w:val="center"/>
          </w:tcPr>
          <w:p w:rsidR="00E65557" w:rsidRPr="00B8793B" w:rsidRDefault="00E65557" w:rsidP="000E6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</w:t>
            </w:r>
            <w:r w:rsidR="000E6E6D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75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</w:tr>
      <w:tr w:rsidR="00E65557" w:rsidRPr="00B8793B" w:rsidTr="005E7B40">
        <w:tc>
          <w:tcPr>
            <w:tcW w:w="3438" w:type="dxa"/>
          </w:tcPr>
          <w:p w:rsidR="00E65557" w:rsidRPr="00B8793B" w:rsidRDefault="00E65557" w:rsidP="005E7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1.3. Отплата камата</w:t>
            </w:r>
          </w:p>
        </w:tc>
        <w:tc>
          <w:tcPr>
            <w:tcW w:w="1350" w:type="dxa"/>
            <w:vAlign w:val="center"/>
          </w:tcPr>
          <w:p w:rsidR="00E65557" w:rsidRPr="00B8793B" w:rsidRDefault="005C287F" w:rsidP="005C28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2</w:t>
            </w:r>
            <w:r w:rsidR="00E65557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876</w:t>
            </w:r>
          </w:p>
        </w:tc>
        <w:tc>
          <w:tcPr>
            <w:tcW w:w="1170" w:type="dxa"/>
            <w:vAlign w:val="center"/>
          </w:tcPr>
          <w:p w:rsidR="00E65557" w:rsidRPr="00B8793B" w:rsidRDefault="00531768" w:rsidP="005317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</w:t>
            </w:r>
            <w:r w:rsidR="00E65557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93</w:t>
            </w:r>
            <w:r w:rsidR="00E65557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50" w:type="dxa"/>
            <w:vAlign w:val="center"/>
          </w:tcPr>
          <w:p w:rsidR="00E65557" w:rsidRPr="00B8793B" w:rsidRDefault="00E65557" w:rsidP="00D465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3</w:t>
            </w:r>
            <w:r w:rsidR="00D46555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50" w:type="dxa"/>
            <w:vAlign w:val="center"/>
          </w:tcPr>
          <w:p w:rsidR="00E65557" w:rsidRPr="00B8793B" w:rsidRDefault="0012635E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54" w:type="dxa"/>
            <w:vAlign w:val="center"/>
          </w:tcPr>
          <w:p w:rsidR="00E65557" w:rsidRPr="00B8793B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E65557" w:rsidRPr="00B8793B" w:rsidTr="005E7B40">
        <w:tc>
          <w:tcPr>
            <w:tcW w:w="3438" w:type="dxa"/>
          </w:tcPr>
          <w:p w:rsidR="00E65557" w:rsidRPr="00B8793B" w:rsidRDefault="00E65557" w:rsidP="005E7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1.4. Субвенције</w:t>
            </w:r>
          </w:p>
        </w:tc>
        <w:tc>
          <w:tcPr>
            <w:tcW w:w="1350" w:type="dxa"/>
            <w:vAlign w:val="center"/>
          </w:tcPr>
          <w:p w:rsidR="00E65557" w:rsidRPr="00B8793B" w:rsidRDefault="005C287F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49.509</w:t>
            </w:r>
          </w:p>
        </w:tc>
        <w:tc>
          <w:tcPr>
            <w:tcW w:w="1170" w:type="dxa"/>
            <w:vAlign w:val="center"/>
          </w:tcPr>
          <w:p w:rsidR="00E65557" w:rsidRPr="00B8793B" w:rsidRDefault="00531768" w:rsidP="005317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4</w:t>
            </w:r>
            <w:r w:rsidR="00E65557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5.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7</w:t>
            </w:r>
            <w:r w:rsidR="00E65557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350" w:type="dxa"/>
            <w:vAlign w:val="center"/>
          </w:tcPr>
          <w:p w:rsidR="00E65557" w:rsidRPr="00B8793B" w:rsidRDefault="00E65557" w:rsidP="00D465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5</w:t>
            </w:r>
            <w:r w:rsidR="00D4655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350" w:type="dxa"/>
            <w:vAlign w:val="center"/>
          </w:tcPr>
          <w:p w:rsidR="00E65557" w:rsidRPr="00B8793B" w:rsidRDefault="000E6E6D" w:rsidP="000E6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50</w:t>
            </w:r>
            <w:r w:rsidR="00E65557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154" w:type="dxa"/>
            <w:vAlign w:val="center"/>
          </w:tcPr>
          <w:p w:rsidR="00E65557" w:rsidRPr="00B8793B" w:rsidRDefault="000E6E6D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50</w:t>
            </w:r>
            <w:r w:rsidR="00E65557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</w:tr>
      <w:tr w:rsidR="00E65557" w:rsidRPr="00B8793B" w:rsidTr="005E7B40">
        <w:tc>
          <w:tcPr>
            <w:tcW w:w="3438" w:type="dxa"/>
          </w:tcPr>
          <w:p w:rsidR="00E65557" w:rsidRPr="00B8793B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879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1.5. Донације и трансфери</w:t>
            </w:r>
          </w:p>
          <w:p w:rsidR="00E65557" w:rsidRPr="00B8793B" w:rsidRDefault="00E65557" w:rsidP="005E7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осталим нивоима власти</w:t>
            </w:r>
          </w:p>
        </w:tc>
        <w:tc>
          <w:tcPr>
            <w:tcW w:w="1350" w:type="dxa"/>
            <w:vAlign w:val="center"/>
          </w:tcPr>
          <w:p w:rsidR="00E65557" w:rsidRPr="00B8793B" w:rsidRDefault="005C287F" w:rsidP="005C28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70</w:t>
            </w:r>
            <w:r w:rsidR="00E65557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828</w:t>
            </w:r>
          </w:p>
        </w:tc>
        <w:tc>
          <w:tcPr>
            <w:tcW w:w="1170" w:type="dxa"/>
            <w:vAlign w:val="center"/>
          </w:tcPr>
          <w:p w:rsidR="00E65557" w:rsidRPr="00B8793B" w:rsidRDefault="00531768" w:rsidP="005317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93</w:t>
            </w:r>
            <w:r w:rsidR="00E65557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12</w:t>
            </w:r>
            <w:r w:rsidR="00E65557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50" w:type="dxa"/>
            <w:vAlign w:val="center"/>
          </w:tcPr>
          <w:p w:rsidR="00E65557" w:rsidRPr="00B8793B" w:rsidRDefault="00D4655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92</w:t>
            </w:r>
            <w:r w:rsidR="00E65557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350" w:type="dxa"/>
            <w:vAlign w:val="center"/>
          </w:tcPr>
          <w:p w:rsidR="00E65557" w:rsidRPr="00B8793B" w:rsidRDefault="000E6E6D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8</w:t>
            </w:r>
            <w:r w:rsidR="00E65557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5.000</w:t>
            </w:r>
          </w:p>
        </w:tc>
        <w:tc>
          <w:tcPr>
            <w:tcW w:w="1154" w:type="dxa"/>
            <w:vAlign w:val="center"/>
          </w:tcPr>
          <w:p w:rsidR="00E65557" w:rsidRPr="00B8793B" w:rsidRDefault="000E6E6D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90</w:t>
            </w:r>
            <w:r w:rsidR="00E65557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</w:tr>
      <w:tr w:rsidR="00E65557" w:rsidRPr="00B8793B" w:rsidTr="005E7B40">
        <w:tc>
          <w:tcPr>
            <w:tcW w:w="3438" w:type="dxa"/>
          </w:tcPr>
          <w:p w:rsidR="00E65557" w:rsidRPr="00B8793B" w:rsidRDefault="00E65557" w:rsidP="005E7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1.6. Социјална помоћ</w:t>
            </w:r>
          </w:p>
        </w:tc>
        <w:tc>
          <w:tcPr>
            <w:tcW w:w="1350" w:type="dxa"/>
            <w:vAlign w:val="center"/>
          </w:tcPr>
          <w:p w:rsidR="00E65557" w:rsidRPr="00B8793B" w:rsidRDefault="00E65557" w:rsidP="005C28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13.</w:t>
            </w:r>
            <w:r w:rsidR="005C287F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23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70" w:type="dxa"/>
            <w:vAlign w:val="center"/>
          </w:tcPr>
          <w:p w:rsidR="00E65557" w:rsidRPr="00B8793B" w:rsidRDefault="00E65557" w:rsidP="005317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15.</w:t>
            </w:r>
            <w:r w:rsidR="00531768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610</w:t>
            </w:r>
          </w:p>
        </w:tc>
        <w:tc>
          <w:tcPr>
            <w:tcW w:w="1350" w:type="dxa"/>
            <w:vAlign w:val="center"/>
          </w:tcPr>
          <w:p w:rsidR="00E65557" w:rsidRPr="00B8793B" w:rsidRDefault="00E65557" w:rsidP="007D382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</w:t>
            </w:r>
            <w:r w:rsidR="007D382A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350" w:type="dxa"/>
            <w:vAlign w:val="center"/>
          </w:tcPr>
          <w:p w:rsidR="00E65557" w:rsidRPr="00B8793B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16.000</w:t>
            </w:r>
          </w:p>
        </w:tc>
        <w:tc>
          <w:tcPr>
            <w:tcW w:w="1154" w:type="dxa"/>
            <w:vAlign w:val="center"/>
          </w:tcPr>
          <w:p w:rsidR="00E65557" w:rsidRPr="00B8793B" w:rsidRDefault="00E65557" w:rsidP="000E6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</w:t>
            </w:r>
            <w:r w:rsidR="000E6E6D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6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</w:tr>
      <w:tr w:rsidR="00E65557" w:rsidRPr="00B8793B" w:rsidTr="005E7B40">
        <w:tc>
          <w:tcPr>
            <w:tcW w:w="3438" w:type="dxa"/>
          </w:tcPr>
          <w:p w:rsidR="00E65557" w:rsidRPr="00B8793B" w:rsidRDefault="00E65557" w:rsidP="005E7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1.7. Остали </w:t>
            </w:r>
            <w:r w:rsidRPr="00B8793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r-Cyrl-CS"/>
              </w:rPr>
              <w:t>расходи</w:t>
            </w:r>
          </w:p>
        </w:tc>
        <w:tc>
          <w:tcPr>
            <w:tcW w:w="1350" w:type="dxa"/>
            <w:vAlign w:val="center"/>
          </w:tcPr>
          <w:p w:rsidR="00E65557" w:rsidRPr="00B8793B" w:rsidRDefault="005C287F" w:rsidP="005C28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30</w:t>
            </w:r>
            <w:r w:rsidR="00E65557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193</w:t>
            </w:r>
          </w:p>
        </w:tc>
        <w:tc>
          <w:tcPr>
            <w:tcW w:w="1170" w:type="dxa"/>
            <w:vAlign w:val="center"/>
          </w:tcPr>
          <w:p w:rsidR="00E65557" w:rsidRPr="00B8793B" w:rsidRDefault="00531768" w:rsidP="005317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22</w:t>
            </w:r>
            <w:r w:rsidR="00E65557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81</w:t>
            </w:r>
            <w:r w:rsidR="00E65557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50" w:type="dxa"/>
            <w:vAlign w:val="center"/>
          </w:tcPr>
          <w:p w:rsidR="00E65557" w:rsidRPr="00B8793B" w:rsidRDefault="00C23DF8" w:rsidP="001263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="0012635E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</w:t>
            </w:r>
            <w:r w:rsidR="00E65557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350" w:type="dxa"/>
            <w:vAlign w:val="center"/>
          </w:tcPr>
          <w:p w:rsidR="00E65557" w:rsidRPr="00B8793B" w:rsidRDefault="00E65557" w:rsidP="000E6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2</w:t>
            </w:r>
            <w:r w:rsidR="000E6E6D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154" w:type="dxa"/>
            <w:vAlign w:val="center"/>
          </w:tcPr>
          <w:p w:rsidR="00E65557" w:rsidRPr="00B8793B" w:rsidRDefault="00E65557" w:rsidP="000E6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2</w:t>
            </w:r>
            <w:r w:rsidR="000E6E6D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</w:tr>
      <w:tr w:rsidR="00E65557" w:rsidRPr="00B8793B" w:rsidTr="005E7B40">
        <w:tc>
          <w:tcPr>
            <w:tcW w:w="3438" w:type="dxa"/>
          </w:tcPr>
          <w:p w:rsidR="00E65557" w:rsidRPr="00B8793B" w:rsidRDefault="00E65557" w:rsidP="005E7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1.8. Средства резерве</w:t>
            </w:r>
          </w:p>
        </w:tc>
        <w:tc>
          <w:tcPr>
            <w:tcW w:w="1350" w:type="dxa"/>
            <w:vAlign w:val="center"/>
          </w:tcPr>
          <w:p w:rsidR="00E65557" w:rsidRPr="00B8793B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70" w:type="dxa"/>
            <w:vAlign w:val="center"/>
          </w:tcPr>
          <w:p w:rsidR="00E65557" w:rsidRPr="00B8793B" w:rsidRDefault="00531768" w:rsidP="005317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9</w:t>
            </w:r>
            <w:r w:rsidR="00E65557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5</w:t>
            </w:r>
            <w:r w:rsidR="00E65557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350" w:type="dxa"/>
            <w:vAlign w:val="center"/>
          </w:tcPr>
          <w:p w:rsidR="00E65557" w:rsidRPr="00B8793B" w:rsidRDefault="00E65557" w:rsidP="007D382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</w:t>
            </w:r>
            <w:r w:rsidR="007D382A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350" w:type="dxa"/>
            <w:vAlign w:val="center"/>
          </w:tcPr>
          <w:p w:rsidR="00E65557" w:rsidRPr="00B8793B" w:rsidRDefault="00E65557" w:rsidP="000E6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</w:t>
            </w:r>
            <w:r w:rsidR="000E6E6D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6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154" w:type="dxa"/>
            <w:vAlign w:val="center"/>
          </w:tcPr>
          <w:p w:rsidR="00E65557" w:rsidRPr="00B8793B" w:rsidRDefault="00E65557" w:rsidP="00B879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</w:t>
            </w:r>
            <w:r w:rsidR="00B8793B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6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</w:tr>
      <w:tr w:rsidR="00E65557" w:rsidRPr="00B8793B" w:rsidTr="005E7B40">
        <w:tc>
          <w:tcPr>
            <w:tcW w:w="3438" w:type="dxa"/>
          </w:tcPr>
          <w:p w:rsidR="00E65557" w:rsidRPr="00B8793B" w:rsidRDefault="00E65557" w:rsidP="005E7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2. Капитални издаци</w:t>
            </w:r>
          </w:p>
        </w:tc>
        <w:tc>
          <w:tcPr>
            <w:tcW w:w="1350" w:type="dxa"/>
            <w:vAlign w:val="center"/>
          </w:tcPr>
          <w:p w:rsidR="00E65557" w:rsidRPr="00B8793B" w:rsidRDefault="005C287F" w:rsidP="005C28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57</w:t>
            </w:r>
            <w:r w:rsidR="00E65557"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</w:t>
            </w: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346</w:t>
            </w:r>
          </w:p>
        </w:tc>
        <w:tc>
          <w:tcPr>
            <w:tcW w:w="1170" w:type="dxa"/>
            <w:vAlign w:val="center"/>
          </w:tcPr>
          <w:p w:rsidR="00E65557" w:rsidRPr="00B8793B" w:rsidRDefault="00531768" w:rsidP="005317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49</w:t>
            </w:r>
            <w:r w:rsidR="00E65557"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.6</w:t>
            </w: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1</w:t>
            </w:r>
            <w:r w:rsidR="00E65557"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50" w:type="dxa"/>
            <w:vAlign w:val="center"/>
          </w:tcPr>
          <w:p w:rsidR="00E65557" w:rsidRPr="00D46555" w:rsidRDefault="00D46555" w:rsidP="00D465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179</w:t>
            </w:r>
            <w:r w:rsidR="00E65557"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950</w:t>
            </w:r>
          </w:p>
        </w:tc>
        <w:tc>
          <w:tcPr>
            <w:tcW w:w="1350" w:type="dxa"/>
            <w:vAlign w:val="center"/>
          </w:tcPr>
          <w:p w:rsidR="00E65557" w:rsidRPr="00B8793B" w:rsidRDefault="00E65557" w:rsidP="000E6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1</w:t>
            </w:r>
            <w:r w:rsidR="000E6E6D"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72</w:t>
            </w: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</w:t>
            </w:r>
            <w:r w:rsidR="000E6E6D"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00</w:t>
            </w: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54" w:type="dxa"/>
            <w:vAlign w:val="center"/>
          </w:tcPr>
          <w:p w:rsidR="00E65557" w:rsidRPr="00B8793B" w:rsidRDefault="00B8793B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203</w:t>
            </w:r>
            <w:r w:rsidR="00E65557"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.000</w:t>
            </w:r>
          </w:p>
        </w:tc>
      </w:tr>
      <w:tr w:rsidR="00E65557" w:rsidRPr="00B8793B" w:rsidTr="005E7B40">
        <w:tc>
          <w:tcPr>
            <w:tcW w:w="3438" w:type="dxa"/>
          </w:tcPr>
          <w:p w:rsidR="00E65557" w:rsidRPr="00B8793B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2.1. </w:t>
            </w:r>
            <w:r w:rsidRPr="00B8793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r-Cyrl-CS"/>
              </w:rPr>
              <w:t>Основна средства</w:t>
            </w:r>
          </w:p>
        </w:tc>
        <w:tc>
          <w:tcPr>
            <w:tcW w:w="1350" w:type="dxa"/>
            <w:vAlign w:val="center"/>
          </w:tcPr>
          <w:p w:rsidR="00E65557" w:rsidRPr="00B8793B" w:rsidRDefault="005C287F" w:rsidP="005C28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42</w:t>
            </w:r>
            <w:r w:rsidR="00E65557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2</w:t>
            </w:r>
            <w:r w:rsidR="00E65557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87</w:t>
            </w:r>
          </w:p>
        </w:tc>
        <w:tc>
          <w:tcPr>
            <w:tcW w:w="1170" w:type="dxa"/>
            <w:vAlign w:val="center"/>
          </w:tcPr>
          <w:p w:rsidR="00E65557" w:rsidRPr="00B8793B" w:rsidRDefault="00531768" w:rsidP="005317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35</w:t>
            </w:r>
            <w:r w:rsidR="00E65557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.6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</w:t>
            </w:r>
            <w:r w:rsidR="00E65557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50" w:type="dxa"/>
            <w:vAlign w:val="center"/>
          </w:tcPr>
          <w:p w:rsidR="00E65557" w:rsidRPr="00B8793B" w:rsidRDefault="007D382A" w:rsidP="00D465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D46555">
              <w:rPr>
                <w:rFonts w:ascii="Times New Roman" w:hAnsi="Times New Roman" w:cs="Times New Roman"/>
                <w:bCs/>
                <w:sz w:val="22"/>
                <w:szCs w:val="22"/>
              </w:rPr>
              <w:t>49</w:t>
            </w:r>
            <w:r w:rsidR="00E65557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</w:t>
            </w:r>
            <w:r w:rsidR="00D46555">
              <w:rPr>
                <w:rFonts w:ascii="Times New Roman" w:hAnsi="Times New Roman" w:cs="Times New Roman"/>
                <w:bCs/>
                <w:sz w:val="22"/>
                <w:szCs w:val="22"/>
              </w:rPr>
              <w:t>95</w:t>
            </w:r>
            <w:r w:rsidR="00E65557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50" w:type="dxa"/>
            <w:vAlign w:val="center"/>
          </w:tcPr>
          <w:p w:rsidR="00E65557" w:rsidRPr="00B8793B" w:rsidRDefault="00E65557" w:rsidP="000E6E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</w:t>
            </w:r>
            <w:r w:rsidR="000E6E6D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62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</w:t>
            </w:r>
            <w:r w:rsidR="000E6E6D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00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54" w:type="dxa"/>
            <w:vAlign w:val="center"/>
          </w:tcPr>
          <w:p w:rsidR="00E65557" w:rsidRPr="00B8793B" w:rsidRDefault="00B8793B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190</w:t>
            </w:r>
            <w:r w:rsidR="00E65557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</w:tr>
      <w:tr w:rsidR="00E65557" w:rsidRPr="00B8793B" w:rsidTr="005E7B40">
        <w:tc>
          <w:tcPr>
            <w:tcW w:w="3438" w:type="dxa"/>
          </w:tcPr>
          <w:p w:rsidR="00E65557" w:rsidRPr="00B8793B" w:rsidRDefault="00E65557" w:rsidP="005E7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2.2. </w:t>
            </w:r>
            <w:r w:rsidRPr="00B8793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r-Cyrl-CS"/>
              </w:rPr>
              <w:t>Природна имовина</w:t>
            </w:r>
          </w:p>
        </w:tc>
        <w:tc>
          <w:tcPr>
            <w:tcW w:w="1350" w:type="dxa"/>
            <w:vAlign w:val="center"/>
          </w:tcPr>
          <w:p w:rsidR="00E65557" w:rsidRPr="00B8793B" w:rsidRDefault="005C287F" w:rsidP="005C28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15</w:t>
            </w:r>
            <w:r w:rsidR="00E65557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059</w:t>
            </w:r>
          </w:p>
        </w:tc>
        <w:tc>
          <w:tcPr>
            <w:tcW w:w="1170" w:type="dxa"/>
            <w:vAlign w:val="center"/>
          </w:tcPr>
          <w:p w:rsidR="00E65557" w:rsidRPr="00B8793B" w:rsidRDefault="00E65557" w:rsidP="005317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</w:t>
            </w:r>
            <w:r w:rsidR="00531768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4</w:t>
            </w: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350" w:type="dxa"/>
            <w:vAlign w:val="center"/>
          </w:tcPr>
          <w:p w:rsidR="00E65557" w:rsidRPr="00B8793B" w:rsidRDefault="0012635E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30</w:t>
            </w:r>
            <w:r w:rsidR="00E65557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350" w:type="dxa"/>
            <w:vAlign w:val="center"/>
          </w:tcPr>
          <w:p w:rsidR="00E65557" w:rsidRPr="00B8793B" w:rsidRDefault="000E6E6D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10</w:t>
            </w:r>
            <w:r w:rsidR="00E65557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154" w:type="dxa"/>
            <w:vAlign w:val="center"/>
          </w:tcPr>
          <w:p w:rsidR="00E65557" w:rsidRPr="00B8793B" w:rsidRDefault="00B8793B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</w:t>
            </w:r>
            <w:r w:rsidR="00E65557" w:rsidRPr="00B8793B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3.000</w:t>
            </w:r>
          </w:p>
        </w:tc>
      </w:tr>
      <w:tr w:rsidR="00E65557" w:rsidTr="005E7B40">
        <w:tc>
          <w:tcPr>
            <w:tcW w:w="3438" w:type="dxa"/>
          </w:tcPr>
          <w:p w:rsidR="00E65557" w:rsidRPr="00B8793B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879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3. Набавка финансијске</w:t>
            </w:r>
          </w:p>
          <w:p w:rsidR="00E65557" w:rsidRPr="00B8793B" w:rsidRDefault="00E65557" w:rsidP="005E7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имовине</w:t>
            </w:r>
          </w:p>
        </w:tc>
        <w:tc>
          <w:tcPr>
            <w:tcW w:w="1350" w:type="dxa"/>
            <w:vAlign w:val="center"/>
          </w:tcPr>
          <w:p w:rsidR="00E65557" w:rsidRPr="00B8793B" w:rsidRDefault="00E65557" w:rsidP="005C28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2</w:t>
            </w:r>
            <w:r w:rsidR="005C287F"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4</w:t>
            </w: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</w:t>
            </w:r>
            <w:r w:rsidR="005C287F"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427</w:t>
            </w:r>
          </w:p>
        </w:tc>
        <w:tc>
          <w:tcPr>
            <w:tcW w:w="1170" w:type="dxa"/>
            <w:vAlign w:val="center"/>
          </w:tcPr>
          <w:p w:rsidR="00E65557" w:rsidRPr="00B8793B" w:rsidRDefault="00531768" w:rsidP="005317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12</w:t>
            </w:r>
            <w:r w:rsidR="00E65557"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.9</w:t>
            </w: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5</w:t>
            </w:r>
            <w:r w:rsidR="00E65557"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50" w:type="dxa"/>
            <w:vAlign w:val="center"/>
          </w:tcPr>
          <w:p w:rsidR="00E65557" w:rsidRPr="00B8793B" w:rsidRDefault="00DC4430" w:rsidP="00DC44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6</w:t>
            </w:r>
            <w:r w:rsidR="00E65557"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</w:t>
            </w: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7</w:t>
            </w:r>
            <w:r w:rsidR="00E65557"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350" w:type="dxa"/>
            <w:vAlign w:val="center"/>
          </w:tcPr>
          <w:p w:rsidR="00E65557" w:rsidRPr="00B8793B" w:rsidRDefault="00DC4430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54" w:type="dxa"/>
            <w:vAlign w:val="center"/>
          </w:tcPr>
          <w:p w:rsidR="00E65557" w:rsidRPr="00DC4430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B87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E65557" w:rsidTr="005E7B40">
        <w:tc>
          <w:tcPr>
            <w:tcW w:w="3438" w:type="dxa"/>
          </w:tcPr>
          <w:p w:rsidR="00E65557" w:rsidRPr="00466294" w:rsidRDefault="00E65557" w:rsidP="005E7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2"/>
                <w:szCs w:val="22"/>
                <w:lang w:val="sr-Cyrl-CS"/>
              </w:rPr>
            </w:pPr>
            <w:r w:rsidRPr="00466294">
              <w:rPr>
                <w:rFonts w:ascii="Times New Roman" w:hAnsi="Times New Roman" w:cs="Times New Roman"/>
                <w:bCs/>
                <w:i/>
                <w:sz w:val="22"/>
                <w:szCs w:val="22"/>
                <w:lang w:val="sr-Cyrl-CS"/>
              </w:rPr>
              <w:t>3.1. Отплата главнице</w:t>
            </w:r>
          </w:p>
        </w:tc>
        <w:tc>
          <w:tcPr>
            <w:tcW w:w="1350" w:type="dxa"/>
            <w:vAlign w:val="center"/>
          </w:tcPr>
          <w:p w:rsidR="00E65557" w:rsidRPr="003B3D64" w:rsidRDefault="00E65557" w:rsidP="005C28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3B3D64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2</w:t>
            </w:r>
            <w:r w:rsidR="005C287F" w:rsidRPr="003B3D64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4</w:t>
            </w:r>
            <w:r w:rsidRPr="003B3D64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</w:t>
            </w:r>
            <w:r w:rsidR="005C287F" w:rsidRPr="003B3D64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427</w:t>
            </w:r>
          </w:p>
        </w:tc>
        <w:tc>
          <w:tcPr>
            <w:tcW w:w="1170" w:type="dxa"/>
            <w:vAlign w:val="center"/>
          </w:tcPr>
          <w:p w:rsidR="00E65557" w:rsidRPr="00531768" w:rsidRDefault="00531768" w:rsidP="005317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531768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12</w:t>
            </w:r>
            <w:r w:rsidR="00E65557" w:rsidRPr="00531768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.9</w:t>
            </w:r>
            <w:r w:rsidRPr="00531768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5</w:t>
            </w:r>
            <w:r w:rsidR="00E65557" w:rsidRPr="00531768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50" w:type="dxa"/>
            <w:vAlign w:val="center"/>
          </w:tcPr>
          <w:p w:rsidR="00E65557" w:rsidRPr="00DC4430" w:rsidRDefault="00DC4430" w:rsidP="00DC44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DC4430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6</w:t>
            </w:r>
            <w:r w:rsidR="00E65557" w:rsidRPr="00DC4430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</w:t>
            </w:r>
            <w:r w:rsidRPr="00DC4430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7</w:t>
            </w:r>
            <w:r w:rsidR="00E65557" w:rsidRPr="00DC4430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350" w:type="dxa"/>
            <w:vAlign w:val="center"/>
          </w:tcPr>
          <w:p w:rsidR="00E65557" w:rsidRPr="00DC4430" w:rsidRDefault="00DC4430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DC4430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54" w:type="dxa"/>
            <w:vAlign w:val="center"/>
          </w:tcPr>
          <w:p w:rsidR="00E65557" w:rsidRPr="00DC4430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DC4430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E65557" w:rsidTr="005E7B40">
        <w:tc>
          <w:tcPr>
            <w:tcW w:w="3438" w:type="dxa"/>
          </w:tcPr>
          <w:p w:rsidR="00E65557" w:rsidRPr="00466294" w:rsidRDefault="00E65557" w:rsidP="005E7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</w:pPr>
            <w:r w:rsidRPr="004662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  <w:t>УКУПНО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  <w:t>(</w:t>
            </w:r>
            <w:r w:rsidRPr="001A267E">
              <w:rPr>
                <w:rFonts w:ascii="Times New Roman" w:hAnsi="Times New Roman" w:cs="Times New Roman"/>
                <w:b/>
                <w:bCs/>
                <w:i/>
                <w:lang w:val="sr-Cyrl-CS"/>
              </w:rPr>
              <w:t>РАСХОДИ И ИЗДАЦИ)</w:t>
            </w:r>
          </w:p>
        </w:tc>
        <w:tc>
          <w:tcPr>
            <w:tcW w:w="1350" w:type="dxa"/>
            <w:vAlign w:val="center"/>
          </w:tcPr>
          <w:p w:rsidR="00E65557" w:rsidRPr="003B3D64" w:rsidRDefault="00E65557" w:rsidP="005C28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3B3D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</w:t>
            </w:r>
            <w:r w:rsidR="005C287F" w:rsidRPr="003B3D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31</w:t>
            </w:r>
            <w:r w:rsidRPr="003B3D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  <w:r w:rsidR="005C287F" w:rsidRPr="003B3D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798</w:t>
            </w:r>
          </w:p>
        </w:tc>
        <w:tc>
          <w:tcPr>
            <w:tcW w:w="1170" w:type="dxa"/>
            <w:vAlign w:val="center"/>
          </w:tcPr>
          <w:p w:rsidR="00E65557" w:rsidRPr="00531768" w:rsidRDefault="00531768" w:rsidP="005317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53</w:t>
            </w:r>
            <w:r w:rsidR="00E65557"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0.</w:t>
            </w:r>
            <w:r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54</w:t>
            </w:r>
            <w:r w:rsidR="00E65557" w:rsidRPr="0053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350" w:type="dxa"/>
            <w:vAlign w:val="center"/>
          </w:tcPr>
          <w:p w:rsidR="00E65557" w:rsidRPr="00DC4430" w:rsidRDefault="007D382A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697</w:t>
            </w:r>
            <w:r w:rsidR="00E65557" w:rsidRPr="00DC44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.000</w:t>
            </w:r>
          </w:p>
        </w:tc>
        <w:tc>
          <w:tcPr>
            <w:tcW w:w="1350" w:type="dxa"/>
            <w:vAlign w:val="center"/>
          </w:tcPr>
          <w:p w:rsidR="00E65557" w:rsidRPr="00DC4430" w:rsidRDefault="00E65557" w:rsidP="00DC44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C44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</w:t>
            </w:r>
            <w:r w:rsidR="00DC4430" w:rsidRPr="00DC44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64</w:t>
            </w:r>
            <w:r w:rsidRPr="00DC44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.000</w:t>
            </w:r>
          </w:p>
        </w:tc>
        <w:tc>
          <w:tcPr>
            <w:tcW w:w="1154" w:type="dxa"/>
            <w:vAlign w:val="center"/>
          </w:tcPr>
          <w:p w:rsidR="00E65557" w:rsidRPr="00DC4430" w:rsidRDefault="00DC4430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C44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710</w:t>
            </w:r>
            <w:r w:rsidR="00E65557" w:rsidRPr="00DC44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.000</w:t>
            </w:r>
          </w:p>
        </w:tc>
      </w:tr>
    </w:tbl>
    <w:p w:rsidR="00E65557" w:rsidRPr="00E44FD4" w:rsidRDefault="00E65557" w:rsidP="00E6555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E65557" w:rsidRPr="00E44FD4" w:rsidRDefault="00E65557" w:rsidP="00E6555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E65557" w:rsidRPr="00B8793B" w:rsidRDefault="00E65557" w:rsidP="00E655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  <w:r w:rsidRPr="007A169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8793B">
        <w:rPr>
          <w:rFonts w:ascii="Times New Roman" w:hAnsi="Times New Roman" w:cs="Times New Roman"/>
          <w:b/>
          <w:bCs/>
          <w:sz w:val="22"/>
          <w:szCs w:val="22"/>
        </w:rPr>
        <w:t>ОБИМ СРЕДСТАВА БУЏЕТСК</w:t>
      </w:r>
      <w:r w:rsidRPr="00B8793B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ИХ</w:t>
      </w:r>
      <w:r w:rsidRPr="00B8793B">
        <w:rPr>
          <w:rFonts w:ascii="Times New Roman" w:hAnsi="Times New Roman" w:cs="Times New Roman"/>
          <w:b/>
          <w:bCs/>
          <w:sz w:val="22"/>
          <w:szCs w:val="22"/>
        </w:rPr>
        <w:t xml:space="preserve"> КОРИСНИКА</w:t>
      </w:r>
    </w:p>
    <w:p w:rsidR="00E65557" w:rsidRPr="00B8793B" w:rsidRDefault="0040293B" w:rsidP="0040293B">
      <w:pPr>
        <w:tabs>
          <w:tab w:val="left" w:pos="38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CS"/>
        </w:rPr>
        <w:tab/>
      </w:r>
    </w:p>
    <w:p w:rsidR="00E65557" w:rsidRPr="00B8793B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2"/>
          <w:szCs w:val="22"/>
          <w:lang w:val="sr-Cyrl-CS"/>
        </w:rPr>
      </w:pPr>
      <w:proofErr w:type="gramStart"/>
      <w:r w:rsidRPr="00B8793B">
        <w:rPr>
          <w:rFonts w:ascii="Times New Roman" w:hAnsi="Times New Roman" w:cs="Times New Roman"/>
          <w:bCs/>
          <w:sz w:val="22"/>
          <w:szCs w:val="22"/>
        </w:rPr>
        <w:t>Лимити расхода</w:t>
      </w:r>
      <w:r w:rsidR="00EE7D3A" w:rsidRPr="00B8793B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и издатака</w:t>
      </w:r>
      <w:r w:rsidRPr="00B8793B">
        <w:rPr>
          <w:rFonts w:ascii="Times New Roman" w:hAnsi="Times New Roman" w:cs="Times New Roman"/>
          <w:bCs/>
          <w:sz w:val="22"/>
          <w:szCs w:val="22"/>
        </w:rPr>
        <w:t xml:space="preserve"> (клас</w:t>
      </w:r>
      <w:r w:rsidR="00EE7D3A" w:rsidRPr="00B8793B">
        <w:rPr>
          <w:rFonts w:ascii="Times New Roman" w:hAnsi="Times New Roman" w:cs="Times New Roman"/>
          <w:bCs/>
          <w:sz w:val="22"/>
          <w:szCs w:val="22"/>
          <w:lang w:val="sr-Cyrl-CS"/>
        </w:rPr>
        <w:t>е</w:t>
      </w:r>
      <w:r w:rsidRPr="00B8793B">
        <w:rPr>
          <w:rFonts w:ascii="Times New Roman" w:hAnsi="Times New Roman" w:cs="Times New Roman"/>
          <w:bCs/>
          <w:sz w:val="22"/>
          <w:szCs w:val="22"/>
        </w:rPr>
        <w:t xml:space="preserve"> 4</w:t>
      </w:r>
      <w:r w:rsidR="00EE7D3A" w:rsidRPr="00B8793B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и 5</w:t>
      </w:r>
      <w:r w:rsidRPr="00B8793B">
        <w:rPr>
          <w:rFonts w:ascii="Times New Roman" w:hAnsi="Times New Roman" w:cs="Times New Roman"/>
          <w:bCs/>
          <w:sz w:val="22"/>
          <w:szCs w:val="22"/>
        </w:rPr>
        <w:t>) по буџетским корисницима за</w:t>
      </w:r>
      <w:r w:rsidRPr="00B8793B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793B">
        <w:rPr>
          <w:rFonts w:ascii="Times New Roman" w:hAnsi="Times New Roman" w:cs="Times New Roman"/>
          <w:bCs/>
          <w:sz w:val="22"/>
          <w:szCs w:val="22"/>
        </w:rPr>
        <w:t>201</w:t>
      </w:r>
      <w:r w:rsidR="00EE7D3A" w:rsidRPr="00B8793B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B8793B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B8793B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B8793B">
        <w:rPr>
          <w:rFonts w:ascii="Times New Roman" w:hAnsi="Times New Roman" w:cs="Times New Roman"/>
          <w:bCs/>
          <w:sz w:val="22"/>
          <w:szCs w:val="22"/>
        </w:rPr>
        <w:t>годину</w:t>
      </w:r>
      <w:proofErr w:type="gramEnd"/>
      <w:r w:rsidRPr="00B8793B">
        <w:rPr>
          <w:rFonts w:ascii="Times New Roman" w:hAnsi="Times New Roman" w:cs="Times New Roman"/>
          <w:bCs/>
          <w:sz w:val="22"/>
          <w:szCs w:val="22"/>
        </w:rPr>
        <w:t xml:space="preserve"> и наредне две фискалне године, дати су у следећој табели:</w:t>
      </w:r>
      <w:r w:rsidRPr="00B8793B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(у хиљадама динара)</w:t>
      </w:r>
    </w:p>
    <w:p w:rsidR="00E65557" w:rsidRPr="00B8793B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2"/>
          <w:szCs w:val="22"/>
          <w:lang w:val="sr-Cyrl-CS"/>
        </w:rPr>
      </w:pPr>
    </w:p>
    <w:tbl>
      <w:tblPr>
        <w:tblStyle w:val="TableGrid"/>
        <w:tblW w:w="8900" w:type="dxa"/>
        <w:tblLook w:val="04A0"/>
      </w:tblPr>
      <w:tblGrid>
        <w:gridCol w:w="775"/>
        <w:gridCol w:w="800"/>
        <w:gridCol w:w="2285"/>
        <w:gridCol w:w="1080"/>
        <w:gridCol w:w="1340"/>
        <w:gridCol w:w="1310"/>
        <w:gridCol w:w="1310"/>
      </w:tblGrid>
      <w:tr w:rsidR="00E65557" w:rsidRPr="00B8793B" w:rsidTr="0040293B">
        <w:tc>
          <w:tcPr>
            <w:tcW w:w="775" w:type="dxa"/>
            <w:tcBorders>
              <w:bottom w:val="single" w:sz="4" w:space="0" w:color="000000" w:themeColor="text1"/>
            </w:tcBorders>
          </w:tcPr>
          <w:p w:rsidR="00E65557" w:rsidRPr="00056E53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056E5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Раз-</w:t>
            </w:r>
          </w:p>
          <w:p w:rsidR="00E65557" w:rsidRPr="00056E53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056E5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део</w:t>
            </w:r>
          </w:p>
        </w:tc>
        <w:tc>
          <w:tcPr>
            <w:tcW w:w="800" w:type="dxa"/>
            <w:tcBorders>
              <w:bottom w:val="single" w:sz="4" w:space="0" w:color="000000" w:themeColor="text1"/>
            </w:tcBorders>
          </w:tcPr>
          <w:p w:rsidR="00E65557" w:rsidRPr="00CB0337" w:rsidRDefault="00CB033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ПК</w:t>
            </w:r>
          </w:p>
        </w:tc>
        <w:tc>
          <w:tcPr>
            <w:tcW w:w="2285" w:type="dxa"/>
            <w:tcBorders>
              <w:bottom w:val="single" w:sz="4" w:space="0" w:color="000000" w:themeColor="text1"/>
            </w:tcBorders>
          </w:tcPr>
          <w:p w:rsidR="00E65557" w:rsidRPr="00056E53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056E5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Назив корисника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vAlign w:val="center"/>
          </w:tcPr>
          <w:p w:rsidR="00E65557" w:rsidRPr="00056E53" w:rsidRDefault="00E65557" w:rsidP="00EE7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056E5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201</w:t>
            </w:r>
            <w:r w:rsidR="00EE7D3A" w:rsidRPr="00056E5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5</w:t>
            </w:r>
            <w:r w:rsidRPr="00056E5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 процена</w:t>
            </w:r>
          </w:p>
        </w:tc>
        <w:tc>
          <w:tcPr>
            <w:tcW w:w="1340" w:type="dxa"/>
            <w:tcBorders>
              <w:bottom w:val="single" w:sz="4" w:space="0" w:color="000000" w:themeColor="text1"/>
            </w:tcBorders>
            <w:vAlign w:val="center"/>
          </w:tcPr>
          <w:p w:rsidR="00E65557" w:rsidRPr="00056E53" w:rsidRDefault="00E65557" w:rsidP="00EE7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056E5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201</w:t>
            </w:r>
            <w:r w:rsidR="00EE7D3A" w:rsidRPr="00056E5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6</w:t>
            </w:r>
            <w:r w:rsidRPr="00056E5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 пројекција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E65557" w:rsidRPr="00056E53" w:rsidRDefault="00E65557" w:rsidP="00EE7D3A">
            <w:pPr>
              <w:jc w:val="center"/>
              <w:rPr>
                <w:b/>
              </w:rPr>
            </w:pPr>
            <w:r w:rsidRPr="00056E5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201</w:t>
            </w:r>
            <w:r w:rsidR="00EE7D3A" w:rsidRPr="00056E5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7</w:t>
            </w:r>
            <w:r w:rsidRPr="00056E5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 пројекција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E65557" w:rsidRPr="00056E53" w:rsidRDefault="00E65557" w:rsidP="00EE7D3A">
            <w:pPr>
              <w:jc w:val="center"/>
              <w:rPr>
                <w:b/>
              </w:rPr>
            </w:pPr>
            <w:r w:rsidRPr="00056E5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201</w:t>
            </w:r>
            <w:r w:rsidR="00EE7D3A" w:rsidRPr="00056E5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8</w:t>
            </w:r>
            <w:r w:rsidRPr="00056E5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 пројекција</w:t>
            </w:r>
          </w:p>
        </w:tc>
      </w:tr>
      <w:tr w:rsidR="00692DB5" w:rsidRPr="00B8793B" w:rsidTr="0040293B">
        <w:tc>
          <w:tcPr>
            <w:tcW w:w="77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92DB5" w:rsidRPr="00056E53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6E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85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92DB5" w:rsidRPr="00056E53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056E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СКУПШТИНА ОПШТИНЕ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92DB5" w:rsidRPr="00CB0337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7.510</w:t>
            </w:r>
          </w:p>
        </w:tc>
        <w:tc>
          <w:tcPr>
            <w:tcW w:w="134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92DB5" w:rsidRPr="00BF6E0C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8.000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92DB5" w:rsidRPr="00BF6E0C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8.000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92DB5" w:rsidRPr="00BF6E0C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8.000</w:t>
            </w:r>
          </w:p>
        </w:tc>
      </w:tr>
      <w:tr w:rsidR="00692DB5" w:rsidRPr="00B8793B" w:rsidTr="0040293B">
        <w:trPr>
          <w:trHeight w:val="323"/>
        </w:trPr>
        <w:tc>
          <w:tcPr>
            <w:tcW w:w="775" w:type="dxa"/>
            <w:shd w:val="clear" w:color="auto" w:fill="D9D9D9" w:themeFill="background1" w:themeFillShade="D9"/>
          </w:tcPr>
          <w:p w:rsidR="00692DB5" w:rsidRPr="00B8793B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  <w:r w:rsidRPr="00402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3085" w:type="dxa"/>
            <w:gridSpan w:val="2"/>
            <w:shd w:val="clear" w:color="auto" w:fill="D9D9D9" w:themeFill="background1" w:themeFillShade="D9"/>
          </w:tcPr>
          <w:p w:rsidR="00692DB5" w:rsidRPr="00CB0337" w:rsidRDefault="00692DB5" w:rsidP="0040293B">
            <w:pPr>
              <w:tabs>
                <w:tab w:val="left" w:pos="5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CB03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ОПШТИНСКО ВЕЋЕ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92DB5" w:rsidRPr="00CB0337" w:rsidRDefault="00692DB5" w:rsidP="004029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8</w:t>
            </w:r>
            <w:r w:rsidRPr="00CB03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8</w:t>
            </w:r>
            <w:r w:rsidRPr="00CB03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340" w:type="dxa"/>
            <w:shd w:val="clear" w:color="auto" w:fill="D9D9D9" w:themeFill="background1" w:themeFillShade="D9"/>
          </w:tcPr>
          <w:p w:rsidR="00692DB5" w:rsidRPr="00BF6E0C" w:rsidRDefault="00692DB5" w:rsidP="00BF6E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BF6E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  <w:r w:rsidRPr="00BF6E0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</w:t>
            </w:r>
            <w:r w:rsidRPr="00BF6E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BF6E0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:rsidR="00692DB5" w:rsidRPr="00BF6E0C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BF6E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  <w:r w:rsidRPr="00BF6E0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</w:t>
            </w:r>
            <w:r w:rsidRPr="00BF6E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BF6E0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:rsidR="00692DB5" w:rsidRPr="00BF6E0C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BF6E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  <w:r w:rsidRPr="00BF6E0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</w:t>
            </w:r>
            <w:r w:rsidRPr="00BF6E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BF6E0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00</w:t>
            </w:r>
          </w:p>
        </w:tc>
      </w:tr>
      <w:tr w:rsidR="00692DB5" w:rsidRPr="00B8793B" w:rsidTr="00C44066">
        <w:tc>
          <w:tcPr>
            <w:tcW w:w="775" w:type="dxa"/>
          </w:tcPr>
          <w:p w:rsidR="00692DB5" w:rsidRPr="00B8793B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692DB5" w:rsidRPr="00CB0337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CB03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0602-1</w:t>
            </w:r>
          </w:p>
        </w:tc>
        <w:tc>
          <w:tcPr>
            <w:tcW w:w="2285" w:type="dxa"/>
          </w:tcPr>
          <w:p w:rsidR="00692DB5" w:rsidRPr="00CB0337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Функционисање ЈЛС</w:t>
            </w:r>
          </w:p>
        </w:tc>
        <w:tc>
          <w:tcPr>
            <w:tcW w:w="1080" w:type="dxa"/>
          </w:tcPr>
          <w:p w:rsidR="00692DB5" w:rsidRPr="00CB0337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5.800</w:t>
            </w:r>
          </w:p>
        </w:tc>
        <w:tc>
          <w:tcPr>
            <w:tcW w:w="1340" w:type="dxa"/>
          </w:tcPr>
          <w:p w:rsidR="00692DB5" w:rsidRPr="00BF6E0C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6E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5.800</w:t>
            </w:r>
          </w:p>
        </w:tc>
        <w:tc>
          <w:tcPr>
            <w:tcW w:w="1310" w:type="dxa"/>
            <w:shd w:val="clear" w:color="auto" w:fill="auto"/>
          </w:tcPr>
          <w:p w:rsidR="00692DB5" w:rsidRPr="00C44066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C440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5.800</w:t>
            </w:r>
          </w:p>
        </w:tc>
        <w:tc>
          <w:tcPr>
            <w:tcW w:w="1310" w:type="dxa"/>
          </w:tcPr>
          <w:p w:rsidR="00692DB5" w:rsidRPr="00692DB5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92D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5.800</w:t>
            </w:r>
          </w:p>
        </w:tc>
      </w:tr>
      <w:tr w:rsidR="00692DB5" w:rsidRPr="00B8793B" w:rsidTr="00C44066">
        <w:tc>
          <w:tcPr>
            <w:tcW w:w="775" w:type="dxa"/>
          </w:tcPr>
          <w:p w:rsidR="00692DB5" w:rsidRPr="00B8793B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692DB5" w:rsidRPr="00CB0337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CB03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0602-6</w:t>
            </w:r>
          </w:p>
        </w:tc>
        <w:tc>
          <w:tcPr>
            <w:tcW w:w="2285" w:type="dxa"/>
          </w:tcPr>
          <w:p w:rsidR="00692DB5" w:rsidRPr="00CB0337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Информисање</w:t>
            </w:r>
          </w:p>
        </w:tc>
        <w:tc>
          <w:tcPr>
            <w:tcW w:w="1080" w:type="dxa"/>
          </w:tcPr>
          <w:p w:rsidR="00692DB5" w:rsidRPr="00CB0337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1340" w:type="dxa"/>
          </w:tcPr>
          <w:p w:rsidR="00692DB5" w:rsidRPr="00BF6E0C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6E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3.000</w:t>
            </w:r>
          </w:p>
        </w:tc>
        <w:tc>
          <w:tcPr>
            <w:tcW w:w="1310" w:type="dxa"/>
            <w:shd w:val="clear" w:color="auto" w:fill="auto"/>
          </w:tcPr>
          <w:p w:rsidR="00692DB5" w:rsidRPr="00C44066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C440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3.000</w:t>
            </w:r>
          </w:p>
        </w:tc>
        <w:tc>
          <w:tcPr>
            <w:tcW w:w="1310" w:type="dxa"/>
          </w:tcPr>
          <w:p w:rsidR="00692DB5" w:rsidRPr="00692DB5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92D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3.000</w:t>
            </w:r>
          </w:p>
        </w:tc>
      </w:tr>
      <w:tr w:rsidR="00692DB5" w:rsidRPr="00B8793B" w:rsidTr="00C44066">
        <w:tc>
          <w:tcPr>
            <w:tcW w:w="775" w:type="dxa"/>
            <w:tcBorders>
              <w:bottom w:val="single" w:sz="4" w:space="0" w:color="000000" w:themeColor="text1"/>
            </w:tcBorders>
          </w:tcPr>
          <w:p w:rsidR="00692DB5" w:rsidRPr="00B8793B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  <w:tcBorders>
              <w:bottom w:val="single" w:sz="4" w:space="0" w:color="000000" w:themeColor="text1"/>
            </w:tcBorders>
          </w:tcPr>
          <w:p w:rsidR="00692DB5" w:rsidRPr="00CB0337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1201-2</w:t>
            </w:r>
          </w:p>
        </w:tc>
        <w:tc>
          <w:tcPr>
            <w:tcW w:w="2285" w:type="dxa"/>
            <w:tcBorders>
              <w:bottom w:val="single" w:sz="4" w:space="0" w:color="000000" w:themeColor="text1"/>
            </w:tcBorders>
          </w:tcPr>
          <w:p w:rsidR="00692DB5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Подстицаји култури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692DB5" w:rsidRPr="00CB0337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2.500</w:t>
            </w:r>
          </w:p>
        </w:tc>
        <w:tc>
          <w:tcPr>
            <w:tcW w:w="1340" w:type="dxa"/>
            <w:tcBorders>
              <w:bottom w:val="single" w:sz="4" w:space="0" w:color="000000" w:themeColor="text1"/>
            </w:tcBorders>
          </w:tcPr>
          <w:p w:rsidR="00692DB5" w:rsidRPr="00BF6E0C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6E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2.500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92DB5" w:rsidRPr="00C44066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C440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2.500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692DB5" w:rsidRPr="00692DB5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92D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2.500</w:t>
            </w:r>
          </w:p>
        </w:tc>
      </w:tr>
      <w:tr w:rsidR="00692DB5" w:rsidRPr="00B8793B" w:rsidTr="00DD7779">
        <w:tc>
          <w:tcPr>
            <w:tcW w:w="77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92DB5" w:rsidRPr="00B8793B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  <w:r w:rsidRPr="00402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3085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92DB5" w:rsidRPr="00CB0337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CB03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ПРЕДСЕДНИК ОПШТИНЕ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92DB5" w:rsidRPr="00CB0337" w:rsidRDefault="00692DB5" w:rsidP="004029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1</w:t>
            </w:r>
            <w:r w:rsidRPr="00CB03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5</w:t>
            </w:r>
            <w:r w:rsidRPr="00CB03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34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92DB5" w:rsidRPr="00B8793B" w:rsidRDefault="00692DB5" w:rsidP="00BF6E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  <w:r w:rsidRPr="00BF6E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BF6E0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</w:t>
            </w:r>
            <w:r w:rsidRPr="00BF6E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BF6E0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92DB5" w:rsidRPr="00B8793B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  <w:r w:rsidRPr="00BF6E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BF6E0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</w:t>
            </w:r>
            <w:r w:rsidRPr="00BF6E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BF6E0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92DB5" w:rsidRPr="00B8793B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  <w:r w:rsidRPr="00BF6E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BF6E0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</w:t>
            </w:r>
            <w:r w:rsidRPr="00BF6E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BF6E0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00</w:t>
            </w:r>
          </w:p>
        </w:tc>
      </w:tr>
      <w:tr w:rsidR="00DD7779" w:rsidRPr="00B8793B" w:rsidTr="00612250">
        <w:tc>
          <w:tcPr>
            <w:tcW w:w="77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D7779" w:rsidRPr="00B8793B" w:rsidRDefault="00DD7779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  <w:r w:rsidRPr="00DD777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lastRenderedPageBreak/>
              <w:t>4</w:t>
            </w:r>
          </w:p>
        </w:tc>
        <w:tc>
          <w:tcPr>
            <w:tcW w:w="3085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D7779" w:rsidRPr="00CB0337" w:rsidRDefault="00DD7779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CB03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ОПШТИНСКИ ЈАВНИ ПРАВОБРАН.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D7779" w:rsidRPr="00CB0337" w:rsidRDefault="00DD7779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CB03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4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D7779" w:rsidRPr="00B8793B" w:rsidRDefault="00BF6E0C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  <w:r w:rsidRPr="00BF6E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1.00</w:t>
            </w:r>
            <w:r w:rsidR="00DD7779" w:rsidRPr="00BF6E0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D7779" w:rsidRPr="00B8793B" w:rsidRDefault="00C44066" w:rsidP="00C4406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  <w:r w:rsidRPr="00C440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2.500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D7779" w:rsidRPr="00692DB5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</w:rPr>
            </w:pPr>
            <w:r w:rsidRPr="00692D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2.500</w:t>
            </w:r>
          </w:p>
        </w:tc>
      </w:tr>
      <w:tr w:rsidR="00DD7779" w:rsidRPr="00B8793B" w:rsidTr="00612250">
        <w:tc>
          <w:tcPr>
            <w:tcW w:w="775" w:type="dxa"/>
            <w:shd w:val="clear" w:color="auto" w:fill="D9D9D9" w:themeFill="background1" w:themeFillShade="D9"/>
          </w:tcPr>
          <w:p w:rsidR="00DD7779" w:rsidRPr="00562405" w:rsidRDefault="00DD7779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5624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3085" w:type="dxa"/>
            <w:gridSpan w:val="2"/>
            <w:shd w:val="clear" w:color="auto" w:fill="D9D9D9" w:themeFill="background1" w:themeFillShade="D9"/>
          </w:tcPr>
          <w:p w:rsidR="00DD7779" w:rsidRPr="00CB0337" w:rsidRDefault="00DD7779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CB03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ОПШТИНСКА УПРАВА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DD7779" w:rsidRPr="00CB0337" w:rsidRDefault="00DD7779" w:rsidP="00002B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CB03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5</w:t>
            </w:r>
            <w:r w:rsidR="00002B9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12</w:t>
            </w:r>
            <w:r w:rsidRPr="00CB03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</w:t>
            </w:r>
            <w:r w:rsidR="00002B9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73</w:t>
            </w:r>
            <w:r w:rsidRPr="00CB03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40" w:type="dxa"/>
            <w:shd w:val="clear" w:color="auto" w:fill="D9D9D9" w:themeFill="background1" w:themeFillShade="D9"/>
          </w:tcPr>
          <w:p w:rsidR="00DD7779" w:rsidRPr="00B8793B" w:rsidRDefault="008714F2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  <w:r w:rsidRPr="00C440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6</w:t>
            </w:r>
            <w:r w:rsidR="00692D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="00C44066" w:rsidRPr="00C440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3</w:t>
            </w:r>
            <w:r w:rsidR="00DD7779" w:rsidRPr="00C440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</w:t>
            </w:r>
            <w:r w:rsidRPr="00C440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8</w:t>
            </w:r>
            <w:r w:rsidR="00DD7779" w:rsidRPr="00C440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:rsidR="00DD7779" w:rsidRPr="00692DB5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692D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640</w:t>
            </w:r>
            <w:r w:rsidR="00DD7779" w:rsidRPr="00692DB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</w:t>
            </w:r>
            <w:r w:rsidRPr="00692D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="00DD7779" w:rsidRPr="00692DB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:rsidR="00DD7779" w:rsidRPr="00692DB5" w:rsidRDefault="00DD7779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692DB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6</w:t>
            </w:r>
            <w:r w:rsidR="00692D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</w:t>
            </w:r>
            <w:r w:rsidRPr="00692DB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</w:t>
            </w:r>
            <w:r w:rsidR="00692D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692DB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00</w:t>
            </w:r>
          </w:p>
        </w:tc>
      </w:tr>
      <w:tr w:rsidR="00692DB5" w:rsidRPr="00692DB5" w:rsidTr="005E7B40">
        <w:tc>
          <w:tcPr>
            <w:tcW w:w="775" w:type="dxa"/>
          </w:tcPr>
          <w:p w:rsidR="00692DB5" w:rsidRPr="00B8793B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692DB5" w:rsidRPr="00DD7779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DD77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0602-1</w:t>
            </w:r>
          </w:p>
        </w:tc>
        <w:tc>
          <w:tcPr>
            <w:tcW w:w="2285" w:type="dxa"/>
          </w:tcPr>
          <w:p w:rsidR="00692DB5" w:rsidRPr="00562405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5624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Општа управа</w:t>
            </w:r>
          </w:p>
        </w:tc>
        <w:tc>
          <w:tcPr>
            <w:tcW w:w="1080" w:type="dxa"/>
          </w:tcPr>
          <w:p w:rsidR="00692DB5" w:rsidRPr="00CB0337" w:rsidRDefault="00692DB5" w:rsidP="00DD7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CB033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9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4</w:t>
            </w:r>
            <w:r w:rsidRPr="00CB033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37</w:t>
            </w:r>
            <w:r w:rsidRPr="00CB033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40" w:type="dxa"/>
          </w:tcPr>
          <w:p w:rsidR="00692DB5" w:rsidRPr="009A3875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114</w:t>
            </w:r>
            <w:r w:rsidRPr="009A3875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310" w:type="dxa"/>
          </w:tcPr>
          <w:p w:rsidR="00692DB5" w:rsidRPr="009A3875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114</w:t>
            </w:r>
            <w:r w:rsidRPr="009A3875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310" w:type="dxa"/>
          </w:tcPr>
          <w:p w:rsidR="00692DB5" w:rsidRPr="009A3875" w:rsidRDefault="00692DB5" w:rsidP="00F727C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  <w:r w:rsidR="00F727CA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Pr="009A3875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</w:t>
            </w:r>
            <w:r w:rsidR="00F727CA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Pr="009A3875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00</w:t>
            </w:r>
          </w:p>
        </w:tc>
      </w:tr>
      <w:tr w:rsidR="00692DB5" w:rsidRPr="00692DB5" w:rsidTr="005E7B40">
        <w:tc>
          <w:tcPr>
            <w:tcW w:w="775" w:type="dxa"/>
          </w:tcPr>
          <w:p w:rsidR="00692DB5" w:rsidRPr="00B8793B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692DB5" w:rsidRPr="00DD7779" w:rsidRDefault="00692DB5" w:rsidP="00DD7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DD77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0602-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2285" w:type="dxa"/>
          </w:tcPr>
          <w:p w:rsidR="00692DB5" w:rsidRPr="00562405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5624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Јавни дуг</w:t>
            </w:r>
          </w:p>
        </w:tc>
        <w:tc>
          <w:tcPr>
            <w:tcW w:w="1080" w:type="dxa"/>
          </w:tcPr>
          <w:p w:rsidR="00692DB5" w:rsidRPr="00CB0337" w:rsidRDefault="00692DB5" w:rsidP="0056240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CB033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10.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4</w:t>
            </w:r>
            <w:r w:rsidRPr="00CB033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340" w:type="dxa"/>
          </w:tcPr>
          <w:p w:rsidR="00692DB5" w:rsidRPr="009A3875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 w:rsidRPr="009A3875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.200</w:t>
            </w:r>
          </w:p>
        </w:tc>
        <w:tc>
          <w:tcPr>
            <w:tcW w:w="1310" w:type="dxa"/>
          </w:tcPr>
          <w:p w:rsidR="00692DB5" w:rsidRPr="009A3875" w:rsidRDefault="0038207A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310" w:type="dxa"/>
          </w:tcPr>
          <w:p w:rsidR="00692DB5" w:rsidRPr="009A3875" w:rsidRDefault="0038207A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692DB5" w:rsidRPr="00692DB5" w:rsidTr="005E7B40">
        <w:tc>
          <w:tcPr>
            <w:tcW w:w="775" w:type="dxa"/>
          </w:tcPr>
          <w:p w:rsidR="00692DB5" w:rsidRPr="00B8793B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692DB5" w:rsidRPr="00DD7779" w:rsidRDefault="00692DB5" w:rsidP="00DD7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DD77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0602-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2285" w:type="dxa"/>
          </w:tcPr>
          <w:p w:rsidR="00692DB5" w:rsidRPr="00562405" w:rsidRDefault="00692DB5" w:rsidP="00562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5624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Канцеларија за мл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аде</w:t>
            </w:r>
          </w:p>
        </w:tc>
        <w:tc>
          <w:tcPr>
            <w:tcW w:w="1080" w:type="dxa"/>
          </w:tcPr>
          <w:p w:rsidR="00692DB5" w:rsidRPr="00CB0337" w:rsidRDefault="00692DB5" w:rsidP="0056240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</w:t>
            </w:r>
            <w:r w:rsidRPr="00CB033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.9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5</w:t>
            </w:r>
            <w:r w:rsidRPr="00CB033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40" w:type="dxa"/>
          </w:tcPr>
          <w:p w:rsidR="00692DB5" w:rsidRPr="009A3875" w:rsidRDefault="00692DB5" w:rsidP="009A387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Pr="009A3875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</w:t>
            </w: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Pr="009A3875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310" w:type="dxa"/>
          </w:tcPr>
          <w:p w:rsidR="00692DB5" w:rsidRPr="009A3875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Pr="009A3875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</w:t>
            </w: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Pr="009A3875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310" w:type="dxa"/>
          </w:tcPr>
          <w:p w:rsidR="00692DB5" w:rsidRPr="009A3875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Pr="009A3875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</w:t>
            </w: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Pr="009A3875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00</w:t>
            </w:r>
          </w:p>
        </w:tc>
      </w:tr>
      <w:tr w:rsidR="00692DB5" w:rsidRPr="00692DB5" w:rsidTr="005E7B40">
        <w:tc>
          <w:tcPr>
            <w:tcW w:w="775" w:type="dxa"/>
          </w:tcPr>
          <w:p w:rsidR="00692DB5" w:rsidRPr="00B8793B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692DB5" w:rsidRPr="00562405" w:rsidRDefault="00692DB5" w:rsidP="00CC2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56240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>0602-10</w:t>
            </w:r>
          </w:p>
        </w:tc>
        <w:tc>
          <w:tcPr>
            <w:tcW w:w="2285" w:type="dxa"/>
          </w:tcPr>
          <w:p w:rsidR="00692DB5" w:rsidRPr="00562405" w:rsidRDefault="00692DB5" w:rsidP="00562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5624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Резерве</w:t>
            </w:r>
          </w:p>
        </w:tc>
        <w:tc>
          <w:tcPr>
            <w:tcW w:w="1080" w:type="dxa"/>
          </w:tcPr>
          <w:p w:rsidR="00692DB5" w:rsidRPr="00CB0337" w:rsidRDefault="00692DB5" w:rsidP="0056240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9</w:t>
            </w:r>
            <w:r w:rsidRPr="00CB033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50</w:t>
            </w:r>
            <w:r w:rsidRPr="00CB033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40" w:type="dxa"/>
          </w:tcPr>
          <w:p w:rsidR="00692DB5" w:rsidRPr="009A3875" w:rsidRDefault="00692DB5" w:rsidP="009A387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16</w:t>
            </w:r>
            <w:r w:rsidRPr="009A3875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</w:t>
            </w: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9A3875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310" w:type="dxa"/>
          </w:tcPr>
          <w:p w:rsidR="00692DB5" w:rsidRPr="009A3875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16</w:t>
            </w:r>
            <w:r w:rsidRPr="009A3875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</w:t>
            </w: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9A3875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310" w:type="dxa"/>
          </w:tcPr>
          <w:p w:rsidR="00692DB5" w:rsidRPr="009A3875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16</w:t>
            </w:r>
            <w:r w:rsidRPr="009A3875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</w:t>
            </w: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9A3875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00</w:t>
            </w:r>
          </w:p>
        </w:tc>
      </w:tr>
      <w:tr w:rsidR="00692DB5" w:rsidRPr="00692DB5" w:rsidTr="005E7B40">
        <w:tc>
          <w:tcPr>
            <w:tcW w:w="775" w:type="dxa"/>
          </w:tcPr>
          <w:p w:rsidR="00692DB5" w:rsidRPr="00B8793B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692DB5" w:rsidRPr="00DD7779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0901-1</w:t>
            </w:r>
          </w:p>
        </w:tc>
        <w:tc>
          <w:tcPr>
            <w:tcW w:w="2285" w:type="dxa"/>
          </w:tcPr>
          <w:p w:rsidR="00692DB5" w:rsidRPr="00562405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5624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Социјалне помоћи</w:t>
            </w:r>
          </w:p>
        </w:tc>
        <w:tc>
          <w:tcPr>
            <w:tcW w:w="1080" w:type="dxa"/>
          </w:tcPr>
          <w:p w:rsidR="00692DB5" w:rsidRPr="00CB0337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8.200</w:t>
            </w:r>
          </w:p>
        </w:tc>
        <w:tc>
          <w:tcPr>
            <w:tcW w:w="1340" w:type="dxa"/>
          </w:tcPr>
          <w:p w:rsidR="00692DB5" w:rsidRPr="009A3875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10.000</w:t>
            </w:r>
          </w:p>
        </w:tc>
        <w:tc>
          <w:tcPr>
            <w:tcW w:w="1310" w:type="dxa"/>
          </w:tcPr>
          <w:p w:rsidR="00692DB5" w:rsidRPr="009A3875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10.000</w:t>
            </w:r>
          </w:p>
        </w:tc>
        <w:tc>
          <w:tcPr>
            <w:tcW w:w="1310" w:type="dxa"/>
          </w:tcPr>
          <w:p w:rsidR="00692DB5" w:rsidRPr="009A3875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10.000</w:t>
            </w:r>
          </w:p>
        </w:tc>
      </w:tr>
      <w:tr w:rsidR="00692DB5" w:rsidRPr="00692DB5" w:rsidTr="005E7B40">
        <w:tc>
          <w:tcPr>
            <w:tcW w:w="775" w:type="dxa"/>
          </w:tcPr>
          <w:p w:rsidR="00692DB5" w:rsidRPr="00B8793B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692DB5" w:rsidRPr="00DD7779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0901-3</w:t>
            </w:r>
          </w:p>
        </w:tc>
        <w:tc>
          <w:tcPr>
            <w:tcW w:w="2285" w:type="dxa"/>
          </w:tcPr>
          <w:p w:rsidR="00692DB5" w:rsidRPr="00562405" w:rsidRDefault="00692DB5" w:rsidP="00562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5624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Социо хум.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о</w:t>
            </w:r>
            <w:r w:rsidRPr="005624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рган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изац</w:t>
            </w:r>
          </w:p>
        </w:tc>
        <w:tc>
          <w:tcPr>
            <w:tcW w:w="1080" w:type="dxa"/>
          </w:tcPr>
          <w:p w:rsidR="00692DB5" w:rsidRPr="00CB0337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1.500</w:t>
            </w:r>
          </w:p>
        </w:tc>
        <w:tc>
          <w:tcPr>
            <w:tcW w:w="1340" w:type="dxa"/>
          </w:tcPr>
          <w:p w:rsidR="00692DB5" w:rsidRPr="009A3875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1.500</w:t>
            </w:r>
          </w:p>
        </w:tc>
        <w:tc>
          <w:tcPr>
            <w:tcW w:w="1310" w:type="dxa"/>
          </w:tcPr>
          <w:p w:rsidR="00692DB5" w:rsidRPr="009A3875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1.500</w:t>
            </w:r>
          </w:p>
        </w:tc>
        <w:tc>
          <w:tcPr>
            <w:tcW w:w="1310" w:type="dxa"/>
          </w:tcPr>
          <w:p w:rsidR="00692DB5" w:rsidRPr="009A3875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1.500</w:t>
            </w:r>
          </w:p>
        </w:tc>
      </w:tr>
      <w:tr w:rsidR="00692DB5" w:rsidRPr="00692DB5" w:rsidTr="005E7B40">
        <w:tc>
          <w:tcPr>
            <w:tcW w:w="775" w:type="dxa"/>
          </w:tcPr>
          <w:p w:rsidR="00692DB5" w:rsidRPr="00B8793B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692DB5" w:rsidRPr="00DD7779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0901-5</w:t>
            </w:r>
          </w:p>
        </w:tc>
        <w:tc>
          <w:tcPr>
            <w:tcW w:w="2285" w:type="dxa"/>
          </w:tcPr>
          <w:p w:rsidR="00692DB5" w:rsidRPr="00562405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Црвени крст</w:t>
            </w:r>
          </w:p>
        </w:tc>
        <w:tc>
          <w:tcPr>
            <w:tcW w:w="1080" w:type="dxa"/>
          </w:tcPr>
          <w:p w:rsidR="00692DB5" w:rsidRPr="00CB0337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3.500</w:t>
            </w:r>
          </w:p>
        </w:tc>
        <w:tc>
          <w:tcPr>
            <w:tcW w:w="1340" w:type="dxa"/>
          </w:tcPr>
          <w:p w:rsidR="00692DB5" w:rsidRPr="009A3875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3.500</w:t>
            </w:r>
          </w:p>
        </w:tc>
        <w:tc>
          <w:tcPr>
            <w:tcW w:w="1310" w:type="dxa"/>
          </w:tcPr>
          <w:p w:rsidR="00692DB5" w:rsidRPr="009A3875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3.500</w:t>
            </w:r>
          </w:p>
        </w:tc>
        <w:tc>
          <w:tcPr>
            <w:tcW w:w="1310" w:type="dxa"/>
          </w:tcPr>
          <w:p w:rsidR="00692DB5" w:rsidRPr="009A3875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3.500</w:t>
            </w:r>
          </w:p>
        </w:tc>
      </w:tr>
      <w:tr w:rsidR="00692DB5" w:rsidRPr="00692DB5" w:rsidTr="005E7B40">
        <w:tc>
          <w:tcPr>
            <w:tcW w:w="775" w:type="dxa"/>
          </w:tcPr>
          <w:p w:rsidR="00692DB5" w:rsidRPr="00B8793B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692DB5" w:rsidRPr="00DD7779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0901-6</w:t>
            </w:r>
          </w:p>
        </w:tc>
        <w:tc>
          <w:tcPr>
            <w:tcW w:w="2285" w:type="dxa"/>
          </w:tcPr>
          <w:p w:rsidR="00692DB5" w:rsidRPr="00562405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Дечија заштита</w:t>
            </w:r>
          </w:p>
        </w:tc>
        <w:tc>
          <w:tcPr>
            <w:tcW w:w="1080" w:type="dxa"/>
          </w:tcPr>
          <w:p w:rsidR="00692DB5" w:rsidRPr="00CB0337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12.060</w:t>
            </w:r>
          </w:p>
        </w:tc>
        <w:tc>
          <w:tcPr>
            <w:tcW w:w="1340" w:type="dxa"/>
          </w:tcPr>
          <w:p w:rsidR="00692DB5" w:rsidRPr="009A3875" w:rsidRDefault="00692DB5" w:rsidP="00CC2B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</w:p>
        </w:tc>
        <w:tc>
          <w:tcPr>
            <w:tcW w:w="1310" w:type="dxa"/>
          </w:tcPr>
          <w:p w:rsidR="00692DB5" w:rsidRPr="009A3875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</w:p>
        </w:tc>
        <w:tc>
          <w:tcPr>
            <w:tcW w:w="1310" w:type="dxa"/>
          </w:tcPr>
          <w:p w:rsidR="00692DB5" w:rsidRPr="009A3875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</w:p>
        </w:tc>
      </w:tr>
      <w:tr w:rsidR="00692DB5" w:rsidRPr="00692DB5" w:rsidTr="005E7B40">
        <w:tc>
          <w:tcPr>
            <w:tcW w:w="775" w:type="dxa"/>
          </w:tcPr>
          <w:p w:rsidR="00692DB5" w:rsidRPr="00B8793B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692DB5" w:rsidRPr="00DD7779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1801-1</w:t>
            </w:r>
          </w:p>
        </w:tc>
        <w:tc>
          <w:tcPr>
            <w:tcW w:w="2285" w:type="dxa"/>
          </w:tcPr>
          <w:p w:rsidR="00692DB5" w:rsidRPr="00562405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Здравствена заштита</w:t>
            </w:r>
          </w:p>
        </w:tc>
        <w:tc>
          <w:tcPr>
            <w:tcW w:w="1080" w:type="dxa"/>
          </w:tcPr>
          <w:p w:rsidR="00692DB5" w:rsidRPr="00CB0337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6.400</w:t>
            </w:r>
          </w:p>
        </w:tc>
        <w:tc>
          <w:tcPr>
            <w:tcW w:w="1340" w:type="dxa"/>
          </w:tcPr>
          <w:p w:rsidR="00692DB5" w:rsidRPr="009A3875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6.500</w:t>
            </w:r>
          </w:p>
        </w:tc>
        <w:tc>
          <w:tcPr>
            <w:tcW w:w="1310" w:type="dxa"/>
          </w:tcPr>
          <w:p w:rsidR="00692DB5" w:rsidRPr="009A3875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6.500</w:t>
            </w:r>
          </w:p>
        </w:tc>
        <w:tc>
          <w:tcPr>
            <w:tcW w:w="1310" w:type="dxa"/>
          </w:tcPr>
          <w:p w:rsidR="00692DB5" w:rsidRPr="009A3875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6.500</w:t>
            </w:r>
          </w:p>
        </w:tc>
      </w:tr>
      <w:tr w:rsidR="008714F2" w:rsidRPr="00692DB5" w:rsidTr="005E7B40">
        <w:tc>
          <w:tcPr>
            <w:tcW w:w="775" w:type="dxa"/>
          </w:tcPr>
          <w:p w:rsidR="008714F2" w:rsidRPr="00B8793B" w:rsidRDefault="008714F2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8714F2" w:rsidRPr="008714F2" w:rsidRDefault="008714F2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1501-5</w:t>
            </w:r>
          </w:p>
        </w:tc>
        <w:tc>
          <w:tcPr>
            <w:tcW w:w="2285" w:type="dxa"/>
          </w:tcPr>
          <w:p w:rsidR="008714F2" w:rsidRPr="008714F2" w:rsidRDefault="008714F2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Финансирање развоја</w:t>
            </w:r>
          </w:p>
        </w:tc>
        <w:tc>
          <w:tcPr>
            <w:tcW w:w="1080" w:type="dxa"/>
          </w:tcPr>
          <w:p w:rsidR="008714F2" w:rsidRDefault="008714F2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40" w:type="dxa"/>
          </w:tcPr>
          <w:p w:rsidR="008714F2" w:rsidRPr="00B8793B" w:rsidRDefault="008714F2" w:rsidP="00C4406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highlight w:val="cyan"/>
                <w:lang w:val="sr-Cyrl-CS"/>
              </w:rPr>
            </w:pPr>
            <w:r w:rsidRPr="00C44066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2</w:t>
            </w:r>
            <w:r w:rsidR="00C44066" w:rsidRPr="00C44066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7</w:t>
            </w:r>
            <w:r w:rsidRPr="00C44066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.600</w:t>
            </w:r>
          </w:p>
        </w:tc>
        <w:tc>
          <w:tcPr>
            <w:tcW w:w="1310" w:type="dxa"/>
          </w:tcPr>
          <w:p w:rsidR="008714F2" w:rsidRPr="0038207A" w:rsidRDefault="0038207A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30.300</w:t>
            </w:r>
          </w:p>
        </w:tc>
        <w:tc>
          <w:tcPr>
            <w:tcW w:w="1310" w:type="dxa"/>
          </w:tcPr>
          <w:p w:rsidR="008714F2" w:rsidRPr="00F727CA" w:rsidRDefault="00F727CA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60.000</w:t>
            </w:r>
          </w:p>
        </w:tc>
      </w:tr>
      <w:tr w:rsidR="008113BD" w:rsidRPr="00692DB5" w:rsidTr="005E7B40">
        <w:tc>
          <w:tcPr>
            <w:tcW w:w="775" w:type="dxa"/>
          </w:tcPr>
          <w:p w:rsidR="008113BD" w:rsidRPr="00B8793B" w:rsidRDefault="008113BD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8113BD" w:rsidRDefault="008113BD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285" w:type="dxa"/>
          </w:tcPr>
          <w:p w:rsidR="008113BD" w:rsidRDefault="008113BD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8113BD" w:rsidRDefault="008113BD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40" w:type="dxa"/>
          </w:tcPr>
          <w:p w:rsidR="008113BD" w:rsidRPr="00B8793B" w:rsidRDefault="008113BD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310" w:type="dxa"/>
          </w:tcPr>
          <w:p w:rsidR="008113BD" w:rsidRPr="00692DB5" w:rsidRDefault="008113BD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10" w:type="dxa"/>
          </w:tcPr>
          <w:p w:rsidR="008113BD" w:rsidRPr="00692DB5" w:rsidRDefault="008113BD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</w:tr>
      <w:tr w:rsidR="00692DB5" w:rsidRPr="00692DB5" w:rsidTr="005E7B40">
        <w:tc>
          <w:tcPr>
            <w:tcW w:w="775" w:type="dxa"/>
          </w:tcPr>
          <w:p w:rsidR="00692DB5" w:rsidRPr="00B8793B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692DB5" w:rsidRPr="00DD7779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2001-1</w:t>
            </w:r>
          </w:p>
        </w:tc>
        <w:tc>
          <w:tcPr>
            <w:tcW w:w="2285" w:type="dxa"/>
          </w:tcPr>
          <w:p w:rsidR="00692DB5" w:rsidRPr="00562405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Предшколска устан.</w:t>
            </w:r>
          </w:p>
        </w:tc>
        <w:tc>
          <w:tcPr>
            <w:tcW w:w="1080" w:type="dxa"/>
          </w:tcPr>
          <w:p w:rsidR="00692DB5" w:rsidRPr="00CB0337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26.900</w:t>
            </w:r>
          </w:p>
        </w:tc>
        <w:tc>
          <w:tcPr>
            <w:tcW w:w="1340" w:type="dxa"/>
          </w:tcPr>
          <w:p w:rsidR="00692DB5" w:rsidRPr="009A3875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30</w:t>
            </w:r>
            <w:r w:rsidRPr="009A3875">
              <w:rPr>
                <w:rFonts w:ascii="Times New Roman" w:hAnsi="Times New Roman" w:cs="Times New Roman"/>
                <w:bCs/>
                <w:sz w:val="22"/>
                <w:szCs w:val="22"/>
              </w:rPr>
              <w:t>.700</w:t>
            </w:r>
          </w:p>
        </w:tc>
        <w:tc>
          <w:tcPr>
            <w:tcW w:w="1310" w:type="dxa"/>
          </w:tcPr>
          <w:p w:rsidR="00692DB5" w:rsidRPr="00692DB5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31.000</w:t>
            </w:r>
          </w:p>
        </w:tc>
        <w:tc>
          <w:tcPr>
            <w:tcW w:w="1310" w:type="dxa"/>
          </w:tcPr>
          <w:p w:rsidR="00692DB5" w:rsidRPr="00692DB5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31.000</w:t>
            </w:r>
          </w:p>
        </w:tc>
      </w:tr>
      <w:tr w:rsidR="00692DB5" w:rsidRPr="00692DB5" w:rsidTr="005E7B40">
        <w:tc>
          <w:tcPr>
            <w:tcW w:w="775" w:type="dxa"/>
          </w:tcPr>
          <w:p w:rsidR="00692DB5" w:rsidRPr="00B8793B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692DB5" w:rsidRPr="00DD7779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2002-1</w:t>
            </w:r>
          </w:p>
        </w:tc>
        <w:tc>
          <w:tcPr>
            <w:tcW w:w="2285" w:type="dxa"/>
          </w:tcPr>
          <w:p w:rsidR="00692DB5" w:rsidRPr="00562405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5624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Основно образовање</w:t>
            </w:r>
          </w:p>
        </w:tc>
        <w:tc>
          <w:tcPr>
            <w:tcW w:w="1080" w:type="dxa"/>
          </w:tcPr>
          <w:p w:rsidR="00692DB5" w:rsidRPr="00CB0337" w:rsidRDefault="00692DB5" w:rsidP="0056240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4</w:t>
            </w:r>
            <w:r w:rsidRPr="00CB033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2.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9</w:t>
            </w:r>
            <w:r w:rsidRPr="00CB033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340" w:type="dxa"/>
          </w:tcPr>
          <w:p w:rsidR="00692DB5" w:rsidRPr="009A3875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9A3875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36.000</w:t>
            </w:r>
          </w:p>
        </w:tc>
        <w:tc>
          <w:tcPr>
            <w:tcW w:w="1310" w:type="dxa"/>
          </w:tcPr>
          <w:p w:rsidR="00692DB5" w:rsidRPr="00692DB5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36.000</w:t>
            </w:r>
          </w:p>
        </w:tc>
        <w:tc>
          <w:tcPr>
            <w:tcW w:w="1310" w:type="dxa"/>
          </w:tcPr>
          <w:p w:rsidR="00692DB5" w:rsidRPr="00692DB5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36.000</w:t>
            </w:r>
          </w:p>
        </w:tc>
      </w:tr>
      <w:tr w:rsidR="00692DB5" w:rsidRPr="00692DB5" w:rsidTr="005E7B40">
        <w:tc>
          <w:tcPr>
            <w:tcW w:w="775" w:type="dxa"/>
          </w:tcPr>
          <w:p w:rsidR="00692DB5" w:rsidRPr="00B8793B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692DB5" w:rsidRPr="00DD7779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2003-1</w:t>
            </w:r>
          </w:p>
        </w:tc>
        <w:tc>
          <w:tcPr>
            <w:tcW w:w="2285" w:type="dxa"/>
          </w:tcPr>
          <w:p w:rsidR="00692DB5" w:rsidRPr="00562405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5624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Средње образовање</w:t>
            </w:r>
          </w:p>
        </w:tc>
        <w:tc>
          <w:tcPr>
            <w:tcW w:w="1080" w:type="dxa"/>
          </w:tcPr>
          <w:p w:rsidR="00692DB5" w:rsidRPr="00CB0337" w:rsidRDefault="00692DB5" w:rsidP="008C1E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12</w:t>
            </w:r>
            <w:r w:rsidRPr="00CB033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9</w:t>
            </w:r>
            <w:r w:rsidRPr="00CB033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340" w:type="dxa"/>
          </w:tcPr>
          <w:p w:rsidR="00692DB5" w:rsidRPr="009A3875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9A3875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15.000</w:t>
            </w:r>
          </w:p>
        </w:tc>
        <w:tc>
          <w:tcPr>
            <w:tcW w:w="1310" w:type="dxa"/>
          </w:tcPr>
          <w:p w:rsidR="00692DB5" w:rsidRPr="00692DB5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15.000</w:t>
            </w:r>
          </w:p>
        </w:tc>
        <w:tc>
          <w:tcPr>
            <w:tcW w:w="1310" w:type="dxa"/>
          </w:tcPr>
          <w:p w:rsidR="00692DB5" w:rsidRPr="00692DB5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15.000</w:t>
            </w:r>
          </w:p>
        </w:tc>
      </w:tr>
      <w:tr w:rsidR="008113BD" w:rsidRPr="00692DB5" w:rsidTr="00CC2BF7">
        <w:trPr>
          <w:trHeight w:val="251"/>
        </w:trPr>
        <w:tc>
          <w:tcPr>
            <w:tcW w:w="775" w:type="dxa"/>
          </w:tcPr>
          <w:p w:rsidR="008113BD" w:rsidRPr="00B8793B" w:rsidRDefault="008113BD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8113BD" w:rsidRDefault="008113BD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285" w:type="dxa"/>
          </w:tcPr>
          <w:p w:rsidR="008113BD" w:rsidRPr="00562405" w:rsidRDefault="008113BD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8113BD" w:rsidRDefault="008113BD" w:rsidP="008C1E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40" w:type="dxa"/>
          </w:tcPr>
          <w:p w:rsidR="008113BD" w:rsidRPr="00B8793B" w:rsidRDefault="008113BD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310" w:type="dxa"/>
          </w:tcPr>
          <w:p w:rsidR="008113BD" w:rsidRPr="00692DB5" w:rsidRDefault="008113BD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10" w:type="dxa"/>
          </w:tcPr>
          <w:p w:rsidR="008113BD" w:rsidRPr="00692DB5" w:rsidRDefault="008113BD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</w:tr>
      <w:tr w:rsidR="00692DB5" w:rsidRPr="00692DB5" w:rsidTr="005E7B40">
        <w:tc>
          <w:tcPr>
            <w:tcW w:w="775" w:type="dxa"/>
          </w:tcPr>
          <w:p w:rsidR="00692DB5" w:rsidRPr="00B8793B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692DB5" w:rsidRPr="00DD7779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1301-2</w:t>
            </w:r>
          </w:p>
        </w:tc>
        <w:tc>
          <w:tcPr>
            <w:tcW w:w="2285" w:type="dxa"/>
          </w:tcPr>
          <w:p w:rsidR="00692DB5" w:rsidRPr="00562405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5624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УСЦ Куњак</w:t>
            </w:r>
          </w:p>
        </w:tc>
        <w:tc>
          <w:tcPr>
            <w:tcW w:w="1080" w:type="dxa"/>
          </w:tcPr>
          <w:p w:rsidR="00692DB5" w:rsidRPr="00CB0337" w:rsidRDefault="00692DB5" w:rsidP="008C1E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14</w:t>
            </w:r>
            <w:r w:rsidRPr="00CB033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15</w:t>
            </w:r>
            <w:r w:rsidRPr="00CB033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40" w:type="dxa"/>
          </w:tcPr>
          <w:p w:rsidR="00692DB5" w:rsidRPr="00CC2BF7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CC2BF7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Pr="00CC2BF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310" w:type="dxa"/>
          </w:tcPr>
          <w:p w:rsidR="00692DB5" w:rsidRPr="00CC2BF7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CC2BF7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Pr="00CC2BF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310" w:type="dxa"/>
          </w:tcPr>
          <w:p w:rsidR="00692DB5" w:rsidRPr="00CC2BF7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CC2BF7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Pr="00CC2BF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</w:tr>
      <w:tr w:rsidR="00692DB5" w:rsidRPr="00692DB5" w:rsidTr="005E7B40">
        <w:tc>
          <w:tcPr>
            <w:tcW w:w="775" w:type="dxa"/>
          </w:tcPr>
          <w:p w:rsidR="00692DB5" w:rsidRPr="00B8793B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692DB5" w:rsidRPr="00DD7779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1301-3</w:t>
            </w:r>
          </w:p>
        </w:tc>
        <w:tc>
          <w:tcPr>
            <w:tcW w:w="2285" w:type="dxa"/>
          </w:tcPr>
          <w:p w:rsidR="00692DB5" w:rsidRPr="00562405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Спортска инфрастр.</w:t>
            </w:r>
          </w:p>
        </w:tc>
        <w:tc>
          <w:tcPr>
            <w:tcW w:w="1080" w:type="dxa"/>
          </w:tcPr>
          <w:p w:rsidR="00692DB5" w:rsidRPr="00CB0337" w:rsidRDefault="00692DB5" w:rsidP="008C1E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7</w:t>
            </w:r>
            <w:r w:rsidRPr="00CB033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50</w:t>
            </w:r>
            <w:r w:rsidRPr="00CB033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40" w:type="dxa"/>
          </w:tcPr>
          <w:p w:rsidR="00692DB5" w:rsidRPr="00CC2BF7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CC2BF7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Pr="00CC2BF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310" w:type="dxa"/>
          </w:tcPr>
          <w:p w:rsidR="00692DB5" w:rsidRPr="00CC2BF7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CC2BF7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Pr="00CC2BF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310" w:type="dxa"/>
          </w:tcPr>
          <w:p w:rsidR="00692DB5" w:rsidRPr="00CC2BF7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CC2BF7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Pr="00CC2BF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</w:tr>
      <w:tr w:rsidR="008113BD" w:rsidRPr="00692DB5" w:rsidTr="005E7B40">
        <w:tc>
          <w:tcPr>
            <w:tcW w:w="775" w:type="dxa"/>
          </w:tcPr>
          <w:p w:rsidR="008113BD" w:rsidRPr="00B8793B" w:rsidRDefault="008113BD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8113BD" w:rsidRDefault="008113BD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285" w:type="dxa"/>
          </w:tcPr>
          <w:p w:rsidR="008113BD" w:rsidRDefault="008113BD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8113BD" w:rsidRDefault="008113BD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40" w:type="dxa"/>
          </w:tcPr>
          <w:p w:rsidR="008113BD" w:rsidRPr="00B8793B" w:rsidRDefault="008113BD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310" w:type="dxa"/>
          </w:tcPr>
          <w:p w:rsidR="008113BD" w:rsidRPr="00692DB5" w:rsidRDefault="008113BD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10" w:type="dxa"/>
          </w:tcPr>
          <w:p w:rsidR="008113BD" w:rsidRPr="00692DB5" w:rsidRDefault="008113BD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</w:tr>
      <w:tr w:rsidR="00692DB5" w:rsidRPr="00692DB5" w:rsidTr="005E7B40">
        <w:tc>
          <w:tcPr>
            <w:tcW w:w="775" w:type="dxa"/>
          </w:tcPr>
          <w:p w:rsidR="00692DB5" w:rsidRPr="00B8793B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692DB5" w:rsidRPr="00DD7779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1301-2</w:t>
            </w:r>
          </w:p>
        </w:tc>
        <w:tc>
          <w:tcPr>
            <w:tcW w:w="2285" w:type="dxa"/>
          </w:tcPr>
          <w:p w:rsidR="00692DB5" w:rsidRPr="00562405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БФ за спорт</w:t>
            </w:r>
          </w:p>
        </w:tc>
        <w:tc>
          <w:tcPr>
            <w:tcW w:w="1080" w:type="dxa"/>
          </w:tcPr>
          <w:p w:rsidR="00692DB5" w:rsidRPr="00CB0337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1.050</w:t>
            </w:r>
          </w:p>
        </w:tc>
        <w:tc>
          <w:tcPr>
            <w:tcW w:w="1340" w:type="dxa"/>
          </w:tcPr>
          <w:p w:rsidR="00692DB5" w:rsidRPr="00CC2BF7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2BF7">
              <w:rPr>
                <w:rFonts w:ascii="Times New Roman" w:hAnsi="Times New Roman" w:cs="Times New Roman"/>
                <w:bCs/>
                <w:sz w:val="22"/>
                <w:szCs w:val="22"/>
              </w:rPr>
              <w:t>2.500</w:t>
            </w:r>
          </w:p>
        </w:tc>
        <w:tc>
          <w:tcPr>
            <w:tcW w:w="1310" w:type="dxa"/>
          </w:tcPr>
          <w:p w:rsidR="00692DB5" w:rsidRPr="00CC2BF7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2BF7">
              <w:rPr>
                <w:rFonts w:ascii="Times New Roman" w:hAnsi="Times New Roman" w:cs="Times New Roman"/>
                <w:bCs/>
                <w:sz w:val="22"/>
                <w:szCs w:val="22"/>
              </w:rPr>
              <w:t>2.500</w:t>
            </w:r>
          </w:p>
        </w:tc>
        <w:tc>
          <w:tcPr>
            <w:tcW w:w="1310" w:type="dxa"/>
          </w:tcPr>
          <w:p w:rsidR="00692DB5" w:rsidRPr="00CC2BF7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2BF7">
              <w:rPr>
                <w:rFonts w:ascii="Times New Roman" w:hAnsi="Times New Roman" w:cs="Times New Roman"/>
                <w:bCs/>
                <w:sz w:val="22"/>
                <w:szCs w:val="22"/>
              </w:rPr>
              <w:t>2.500</w:t>
            </w:r>
          </w:p>
        </w:tc>
      </w:tr>
      <w:tr w:rsidR="00692DB5" w:rsidRPr="00692DB5" w:rsidTr="005E7B40">
        <w:tc>
          <w:tcPr>
            <w:tcW w:w="775" w:type="dxa"/>
          </w:tcPr>
          <w:p w:rsidR="00692DB5" w:rsidRPr="00B8793B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692DB5" w:rsidRPr="00DD7779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1301-1</w:t>
            </w:r>
          </w:p>
        </w:tc>
        <w:tc>
          <w:tcPr>
            <w:tcW w:w="2285" w:type="dxa"/>
          </w:tcPr>
          <w:p w:rsidR="00692DB5" w:rsidRPr="00562405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Спортске НВО</w:t>
            </w:r>
          </w:p>
        </w:tc>
        <w:tc>
          <w:tcPr>
            <w:tcW w:w="1080" w:type="dxa"/>
          </w:tcPr>
          <w:p w:rsidR="00692DB5" w:rsidRPr="00CB0337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9.000</w:t>
            </w:r>
          </w:p>
        </w:tc>
        <w:tc>
          <w:tcPr>
            <w:tcW w:w="1340" w:type="dxa"/>
          </w:tcPr>
          <w:p w:rsidR="00692DB5" w:rsidRPr="00CC2BF7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2BF7">
              <w:rPr>
                <w:rFonts w:ascii="Times New Roman" w:hAnsi="Times New Roman" w:cs="Times New Roman"/>
                <w:bCs/>
                <w:sz w:val="22"/>
                <w:szCs w:val="22"/>
              </w:rPr>
              <w:t>10.000</w:t>
            </w:r>
          </w:p>
        </w:tc>
        <w:tc>
          <w:tcPr>
            <w:tcW w:w="1310" w:type="dxa"/>
          </w:tcPr>
          <w:p w:rsidR="00692DB5" w:rsidRPr="00CC2BF7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2BF7">
              <w:rPr>
                <w:rFonts w:ascii="Times New Roman" w:hAnsi="Times New Roman" w:cs="Times New Roman"/>
                <w:bCs/>
                <w:sz w:val="22"/>
                <w:szCs w:val="22"/>
              </w:rPr>
              <w:t>10.000</w:t>
            </w:r>
          </w:p>
        </w:tc>
        <w:tc>
          <w:tcPr>
            <w:tcW w:w="1310" w:type="dxa"/>
          </w:tcPr>
          <w:p w:rsidR="00692DB5" w:rsidRPr="00CC2BF7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2BF7">
              <w:rPr>
                <w:rFonts w:ascii="Times New Roman" w:hAnsi="Times New Roman" w:cs="Times New Roman"/>
                <w:bCs/>
                <w:sz w:val="22"/>
                <w:szCs w:val="22"/>
              </w:rPr>
              <w:t>10.000</w:t>
            </w:r>
          </w:p>
        </w:tc>
      </w:tr>
      <w:tr w:rsidR="008113BD" w:rsidRPr="00692DB5" w:rsidTr="005E7B40">
        <w:tc>
          <w:tcPr>
            <w:tcW w:w="775" w:type="dxa"/>
          </w:tcPr>
          <w:p w:rsidR="008113BD" w:rsidRPr="00B8793B" w:rsidRDefault="008113BD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8113BD" w:rsidRDefault="008113BD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285" w:type="dxa"/>
          </w:tcPr>
          <w:p w:rsidR="008113BD" w:rsidRPr="00562405" w:rsidRDefault="008113BD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8113BD" w:rsidRDefault="008113BD" w:rsidP="007F48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40" w:type="dxa"/>
          </w:tcPr>
          <w:p w:rsidR="008113BD" w:rsidRPr="00B8793B" w:rsidRDefault="008113BD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310" w:type="dxa"/>
          </w:tcPr>
          <w:p w:rsidR="008113BD" w:rsidRPr="00692DB5" w:rsidRDefault="008113BD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10" w:type="dxa"/>
          </w:tcPr>
          <w:p w:rsidR="008113BD" w:rsidRPr="00692DB5" w:rsidRDefault="008113BD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</w:tr>
      <w:tr w:rsidR="00692DB5" w:rsidRPr="00692DB5" w:rsidTr="005E7B40">
        <w:tc>
          <w:tcPr>
            <w:tcW w:w="775" w:type="dxa"/>
          </w:tcPr>
          <w:p w:rsidR="00692DB5" w:rsidRPr="00B8793B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692DB5" w:rsidRPr="00DD7779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1201-1</w:t>
            </w:r>
          </w:p>
        </w:tc>
        <w:tc>
          <w:tcPr>
            <w:tcW w:w="2285" w:type="dxa"/>
          </w:tcPr>
          <w:p w:rsidR="00692DB5" w:rsidRPr="00562405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5624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Центар културе</w:t>
            </w:r>
          </w:p>
        </w:tc>
        <w:tc>
          <w:tcPr>
            <w:tcW w:w="1080" w:type="dxa"/>
          </w:tcPr>
          <w:p w:rsidR="00692DB5" w:rsidRPr="00CB0337" w:rsidRDefault="00692DB5" w:rsidP="007F48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16</w:t>
            </w:r>
            <w:r w:rsidRPr="00CB033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15</w:t>
            </w:r>
            <w:r w:rsidRPr="00CB033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40" w:type="dxa"/>
          </w:tcPr>
          <w:p w:rsidR="00692DB5" w:rsidRPr="00CC2BF7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CC2BF7"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  <w:r w:rsidRPr="00CC2BF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310" w:type="dxa"/>
          </w:tcPr>
          <w:p w:rsidR="00692DB5" w:rsidRPr="00CC2BF7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CC2BF7"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  <w:r w:rsidRPr="00CC2BF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310" w:type="dxa"/>
          </w:tcPr>
          <w:p w:rsidR="00692DB5" w:rsidRPr="00CC2BF7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CC2BF7"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  <w:r w:rsidRPr="00CC2BF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</w:tr>
      <w:tr w:rsidR="00692DB5" w:rsidRPr="00692DB5" w:rsidTr="005E7B40">
        <w:tc>
          <w:tcPr>
            <w:tcW w:w="775" w:type="dxa"/>
          </w:tcPr>
          <w:p w:rsidR="00692DB5" w:rsidRPr="00B8793B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692DB5" w:rsidRPr="00DD7779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1201-2</w:t>
            </w:r>
          </w:p>
        </w:tc>
        <w:tc>
          <w:tcPr>
            <w:tcW w:w="2285" w:type="dxa"/>
          </w:tcPr>
          <w:p w:rsidR="00692DB5" w:rsidRPr="00562405" w:rsidRDefault="00692DB5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Културно стваралаш.</w:t>
            </w:r>
          </w:p>
        </w:tc>
        <w:tc>
          <w:tcPr>
            <w:tcW w:w="1080" w:type="dxa"/>
          </w:tcPr>
          <w:p w:rsidR="00692DB5" w:rsidRPr="00CB0337" w:rsidRDefault="00692DB5" w:rsidP="007F48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3</w:t>
            </w:r>
            <w:r w:rsidRPr="00CB033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60</w:t>
            </w:r>
            <w:r w:rsidRPr="00CB033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40" w:type="dxa"/>
          </w:tcPr>
          <w:p w:rsidR="00692DB5" w:rsidRPr="00CC2BF7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CC2BF7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  <w:r w:rsidRPr="00CC2BF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000</w:t>
            </w:r>
          </w:p>
        </w:tc>
        <w:tc>
          <w:tcPr>
            <w:tcW w:w="1310" w:type="dxa"/>
          </w:tcPr>
          <w:p w:rsidR="00692DB5" w:rsidRPr="00CC2BF7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CC2BF7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  <w:r w:rsidRPr="00CC2BF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000</w:t>
            </w:r>
          </w:p>
        </w:tc>
        <w:tc>
          <w:tcPr>
            <w:tcW w:w="1310" w:type="dxa"/>
          </w:tcPr>
          <w:p w:rsidR="00692DB5" w:rsidRPr="00CC2BF7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CC2BF7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  <w:r w:rsidRPr="00CC2BF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000</w:t>
            </w:r>
          </w:p>
        </w:tc>
      </w:tr>
      <w:tr w:rsidR="008113BD" w:rsidRPr="00692DB5" w:rsidTr="005E7B40">
        <w:tc>
          <w:tcPr>
            <w:tcW w:w="775" w:type="dxa"/>
          </w:tcPr>
          <w:p w:rsidR="008113BD" w:rsidRPr="00B8793B" w:rsidRDefault="008113BD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8113BD" w:rsidRDefault="008113BD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285" w:type="dxa"/>
          </w:tcPr>
          <w:p w:rsidR="008113BD" w:rsidRPr="00562405" w:rsidRDefault="008113BD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8113BD" w:rsidRDefault="008113BD" w:rsidP="008113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40" w:type="dxa"/>
          </w:tcPr>
          <w:p w:rsidR="008113BD" w:rsidRPr="00B8793B" w:rsidRDefault="008113BD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310" w:type="dxa"/>
          </w:tcPr>
          <w:p w:rsidR="008113BD" w:rsidRPr="00692DB5" w:rsidRDefault="008113BD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10" w:type="dxa"/>
          </w:tcPr>
          <w:p w:rsidR="008113BD" w:rsidRPr="00692DB5" w:rsidRDefault="008113BD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</w:tr>
      <w:tr w:rsidR="00E65557" w:rsidRPr="00692DB5" w:rsidTr="005E7B40">
        <w:tc>
          <w:tcPr>
            <w:tcW w:w="775" w:type="dxa"/>
          </w:tcPr>
          <w:p w:rsidR="00E65557" w:rsidRPr="00B8793B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E65557" w:rsidRPr="00DD7779" w:rsidRDefault="008113BD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1101-2</w:t>
            </w:r>
          </w:p>
        </w:tc>
        <w:tc>
          <w:tcPr>
            <w:tcW w:w="2285" w:type="dxa"/>
          </w:tcPr>
          <w:p w:rsidR="00E65557" w:rsidRPr="00562405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5624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ЈП Дирекција</w:t>
            </w:r>
          </w:p>
        </w:tc>
        <w:tc>
          <w:tcPr>
            <w:tcW w:w="1080" w:type="dxa"/>
          </w:tcPr>
          <w:p w:rsidR="00E65557" w:rsidRPr="00CB0337" w:rsidRDefault="008113BD" w:rsidP="008113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25</w:t>
            </w:r>
            <w:r w:rsidR="00E65557" w:rsidRPr="00CB033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41</w:t>
            </w:r>
            <w:r w:rsidR="00E65557" w:rsidRPr="00CB033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40" w:type="dxa"/>
          </w:tcPr>
          <w:p w:rsidR="00E65557" w:rsidRPr="00CC2BF7" w:rsidRDefault="00CC2BF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CC2BF7">
              <w:rPr>
                <w:rFonts w:ascii="Times New Roman" w:hAnsi="Times New Roman" w:cs="Times New Roman"/>
                <w:bCs/>
                <w:sz w:val="22"/>
                <w:szCs w:val="22"/>
              </w:rPr>
              <w:t>25</w:t>
            </w:r>
            <w:r w:rsidR="00E65557" w:rsidRPr="00CC2BF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.500</w:t>
            </w:r>
          </w:p>
        </w:tc>
        <w:tc>
          <w:tcPr>
            <w:tcW w:w="1310" w:type="dxa"/>
          </w:tcPr>
          <w:p w:rsidR="00E65557" w:rsidRPr="0038207A" w:rsidRDefault="0038207A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25.500</w:t>
            </w:r>
          </w:p>
        </w:tc>
        <w:tc>
          <w:tcPr>
            <w:tcW w:w="1310" w:type="dxa"/>
          </w:tcPr>
          <w:p w:rsidR="00E65557" w:rsidRPr="0038207A" w:rsidRDefault="0038207A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25.500</w:t>
            </w:r>
          </w:p>
        </w:tc>
      </w:tr>
      <w:tr w:rsidR="0038207A" w:rsidRPr="00692DB5" w:rsidTr="005E7B40">
        <w:tc>
          <w:tcPr>
            <w:tcW w:w="775" w:type="dxa"/>
          </w:tcPr>
          <w:p w:rsidR="0038207A" w:rsidRPr="00B8793B" w:rsidRDefault="0038207A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38207A" w:rsidRPr="0061149A" w:rsidRDefault="0038207A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6114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>0601-10</w:t>
            </w:r>
          </w:p>
        </w:tc>
        <w:tc>
          <w:tcPr>
            <w:tcW w:w="2285" w:type="dxa"/>
          </w:tcPr>
          <w:p w:rsidR="0038207A" w:rsidRPr="00562405" w:rsidRDefault="0038207A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Јавна расвета</w:t>
            </w:r>
          </w:p>
        </w:tc>
        <w:tc>
          <w:tcPr>
            <w:tcW w:w="1080" w:type="dxa"/>
          </w:tcPr>
          <w:p w:rsidR="0038207A" w:rsidRPr="00CB0337" w:rsidRDefault="0038207A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10.800</w:t>
            </w:r>
          </w:p>
        </w:tc>
        <w:tc>
          <w:tcPr>
            <w:tcW w:w="1340" w:type="dxa"/>
          </w:tcPr>
          <w:p w:rsidR="0038207A" w:rsidRPr="00CC2BF7" w:rsidRDefault="0038207A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2BF7">
              <w:rPr>
                <w:rFonts w:ascii="Times New Roman" w:hAnsi="Times New Roman" w:cs="Times New Roman"/>
                <w:bCs/>
                <w:sz w:val="22"/>
                <w:szCs w:val="22"/>
              </w:rPr>
              <w:t>17.000</w:t>
            </w:r>
          </w:p>
        </w:tc>
        <w:tc>
          <w:tcPr>
            <w:tcW w:w="1310" w:type="dxa"/>
          </w:tcPr>
          <w:p w:rsidR="0038207A" w:rsidRPr="00CC2BF7" w:rsidRDefault="0038207A" w:rsidP="0038207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2BF7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  <w:r w:rsidRPr="00CC2BF7">
              <w:rPr>
                <w:rFonts w:ascii="Times New Roman" w:hAnsi="Times New Roman" w:cs="Times New Roman"/>
                <w:bCs/>
                <w:sz w:val="22"/>
                <w:szCs w:val="22"/>
              </w:rPr>
              <w:t>.000</w:t>
            </w:r>
          </w:p>
        </w:tc>
        <w:tc>
          <w:tcPr>
            <w:tcW w:w="1310" w:type="dxa"/>
          </w:tcPr>
          <w:p w:rsidR="0038207A" w:rsidRPr="00CC2BF7" w:rsidRDefault="0038207A" w:rsidP="00F727C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2BF7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F727CA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  <w:r w:rsidRPr="00CC2BF7">
              <w:rPr>
                <w:rFonts w:ascii="Times New Roman" w:hAnsi="Times New Roman" w:cs="Times New Roman"/>
                <w:bCs/>
                <w:sz w:val="22"/>
                <w:szCs w:val="22"/>
              </w:rPr>
              <w:t>.000</w:t>
            </w:r>
          </w:p>
        </w:tc>
      </w:tr>
      <w:tr w:rsidR="0038207A" w:rsidRPr="00692DB5" w:rsidTr="005E7B40">
        <w:tc>
          <w:tcPr>
            <w:tcW w:w="775" w:type="dxa"/>
          </w:tcPr>
          <w:p w:rsidR="0038207A" w:rsidRPr="00B8793B" w:rsidRDefault="0038207A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38207A" w:rsidRPr="00D40D51" w:rsidRDefault="0038207A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0701-1</w:t>
            </w:r>
          </w:p>
        </w:tc>
        <w:tc>
          <w:tcPr>
            <w:tcW w:w="2285" w:type="dxa"/>
          </w:tcPr>
          <w:p w:rsidR="0038207A" w:rsidRPr="00562405" w:rsidRDefault="0038207A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Саобраћајна инфраст.</w:t>
            </w:r>
          </w:p>
        </w:tc>
        <w:tc>
          <w:tcPr>
            <w:tcW w:w="1080" w:type="dxa"/>
          </w:tcPr>
          <w:p w:rsidR="0038207A" w:rsidRPr="00CB0337" w:rsidRDefault="0038207A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2.000</w:t>
            </w:r>
          </w:p>
        </w:tc>
        <w:tc>
          <w:tcPr>
            <w:tcW w:w="1340" w:type="dxa"/>
          </w:tcPr>
          <w:p w:rsidR="0038207A" w:rsidRPr="00CC2BF7" w:rsidRDefault="0038207A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2BF7">
              <w:rPr>
                <w:rFonts w:ascii="Times New Roman" w:hAnsi="Times New Roman" w:cs="Times New Roman"/>
                <w:bCs/>
                <w:sz w:val="22"/>
                <w:szCs w:val="22"/>
              </w:rPr>
              <w:t>2.000</w:t>
            </w:r>
          </w:p>
        </w:tc>
        <w:tc>
          <w:tcPr>
            <w:tcW w:w="1310" w:type="dxa"/>
          </w:tcPr>
          <w:p w:rsidR="0038207A" w:rsidRPr="00CC2BF7" w:rsidRDefault="0038207A" w:rsidP="007576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2BF7">
              <w:rPr>
                <w:rFonts w:ascii="Times New Roman" w:hAnsi="Times New Roman" w:cs="Times New Roman"/>
                <w:bCs/>
                <w:sz w:val="22"/>
                <w:szCs w:val="22"/>
              </w:rPr>
              <w:t>2.000</w:t>
            </w:r>
          </w:p>
        </w:tc>
        <w:tc>
          <w:tcPr>
            <w:tcW w:w="1310" w:type="dxa"/>
          </w:tcPr>
          <w:p w:rsidR="0038207A" w:rsidRPr="00CC2BF7" w:rsidRDefault="0038207A" w:rsidP="007576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2BF7">
              <w:rPr>
                <w:rFonts w:ascii="Times New Roman" w:hAnsi="Times New Roman" w:cs="Times New Roman"/>
                <w:bCs/>
                <w:sz w:val="22"/>
                <w:szCs w:val="22"/>
              </w:rPr>
              <w:t>2.000</w:t>
            </w:r>
          </w:p>
        </w:tc>
      </w:tr>
      <w:tr w:rsidR="008113BD" w:rsidRPr="00692DB5" w:rsidTr="005E7B40">
        <w:tc>
          <w:tcPr>
            <w:tcW w:w="775" w:type="dxa"/>
          </w:tcPr>
          <w:p w:rsidR="008113BD" w:rsidRPr="00B8793B" w:rsidRDefault="008113BD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8113BD" w:rsidRPr="00D40D51" w:rsidRDefault="0061149A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0701-2</w:t>
            </w:r>
          </w:p>
        </w:tc>
        <w:tc>
          <w:tcPr>
            <w:tcW w:w="2285" w:type="dxa"/>
          </w:tcPr>
          <w:p w:rsidR="008113BD" w:rsidRPr="00562405" w:rsidRDefault="0061149A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Одржавање путева</w:t>
            </w:r>
          </w:p>
        </w:tc>
        <w:tc>
          <w:tcPr>
            <w:tcW w:w="1080" w:type="dxa"/>
          </w:tcPr>
          <w:p w:rsidR="008113BD" w:rsidRPr="00CB0337" w:rsidRDefault="0061149A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53.200</w:t>
            </w:r>
          </w:p>
        </w:tc>
        <w:tc>
          <w:tcPr>
            <w:tcW w:w="1340" w:type="dxa"/>
          </w:tcPr>
          <w:p w:rsidR="008113BD" w:rsidRPr="00CC2BF7" w:rsidRDefault="00CC2BF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2BF7">
              <w:rPr>
                <w:rFonts w:ascii="Times New Roman" w:hAnsi="Times New Roman" w:cs="Times New Roman"/>
                <w:bCs/>
                <w:sz w:val="22"/>
                <w:szCs w:val="22"/>
              </w:rPr>
              <w:t>72.800</w:t>
            </w:r>
          </w:p>
        </w:tc>
        <w:tc>
          <w:tcPr>
            <w:tcW w:w="1310" w:type="dxa"/>
          </w:tcPr>
          <w:p w:rsidR="008113BD" w:rsidRPr="0038207A" w:rsidRDefault="0038207A" w:rsidP="0038207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72.200</w:t>
            </w:r>
          </w:p>
        </w:tc>
        <w:tc>
          <w:tcPr>
            <w:tcW w:w="1310" w:type="dxa"/>
          </w:tcPr>
          <w:p w:rsidR="008113BD" w:rsidRPr="0038207A" w:rsidRDefault="00F727CA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  <w:r w:rsidR="0038207A">
              <w:rPr>
                <w:rFonts w:ascii="Times New Roman" w:hAnsi="Times New Roman" w:cs="Times New Roman"/>
                <w:bCs/>
                <w:sz w:val="22"/>
                <w:szCs w:val="22"/>
              </w:rPr>
              <w:t>5.000</w:t>
            </w:r>
          </w:p>
        </w:tc>
      </w:tr>
      <w:tr w:rsidR="0061149A" w:rsidRPr="00692DB5" w:rsidTr="005E7B40">
        <w:tc>
          <w:tcPr>
            <w:tcW w:w="775" w:type="dxa"/>
          </w:tcPr>
          <w:p w:rsidR="0061149A" w:rsidRPr="00B8793B" w:rsidRDefault="0061149A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61149A" w:rsidRPr="005F3C39" w:rsidRDefault="0061149A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285" w:type="dxa"/>
          </w:tcPr>
          <w:p w:rsidR="0061149A" w:rsidRPr="00562405" w:rsidRDefault="0061149A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61149A" w:rsidRPr="00CB0337" w:rsidRDefault="0061149A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40" w:type="dxa"/>
          </w:tcPr>
          <w:p w:rsidR="0061149A" w:rsidRPr="00B8793B" w:rsidRDefault="0061149A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310" w:type="dxa"/>
          </w:tcPr>
          <w:p w:rsidR="0061149A" w:rsidRPr="00692DB5" w:rsidRDefault="0061149A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10" w:type="dxa"/>
          </w:tcPr>
          <w:p w:rsidR="0061149A" w:rsidRPr="00692DB5" w:rsidRDefault="0061149A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</w:tr>
      <w:tr w:rsidR="0061149A" w:rsidRPr="00692DB5" w:rsidTr="005E7B40">
        <w:tc>
          <w:tcPr>
            <w:tcW w:w="775" w:type="dxa"/>
          </w:tcPr>
          <w:p w:rsidR="0061149A" w:rsidRPr="00B8793B" w:rsidRDefault="0061149A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61149A" w:rsidRPr="005F3C39" w:rsidRDefault="005F3C39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0601-1</w:t>
            </w:r>
          </w:p>
        </w:tc>
        <w:tc>
          <w:tcPr>
            <w:tcW w:w="2285" w:type="dxa"/>
          </w:tcPr>
          <w:p w:rsidR="0061149A" w:rsidRPr="00562405" w:rsidRDefault="005F3C39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ЈП Водовод</w:t>
            </w:r>
          </w:p>
        </w:tc>
        <w:tc>
          <w:tcPr>
            <w:tcW w:w="1080" w:type="dxa"/>
          </w:tcPr>
          <w:p w:rsidR="0061149A" w:rsidRPr="00CB0337" w:rsidRDefault="005F3C39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15.000</w:t>
            </w:r>
          </w:p>
        </w:tc>
        <w:tc>
          <w:tcPr>
            <w:tcW w:w="1340" w:type="dxa"/>
          </w:tcPr>
          <w:p w:rsidR="0061149A" w:rsidRPr="00CC2BF7" w:rsidRDefault="00CC2BF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2BF7">
              <w:rPr>
                <w:rFonts w:ascii="Times New Roman" w:hAnsi="Times New Roman" w:cs="Times New Roman"/>
                <w:bCs/>
                <w:sz w:val="22"/>
                <w:szCs w:val="22"/>
              </w:rPr>
              <w:t>11.000</w:t>
            </w:r>
          </w:p>
        </w:tc>
        <w:tc>
          <w:tcPr>
            <w:tcW w:w="1310" w:type="dxa"/>
          </w:tcPr>
          <w:p w:rsidR="0061149A" w:rsidRPr="00692DB5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10.000</w:t>
            </w:r>
          </w:p>
        </w:tc>
        <w:tc>
          <w:tcPr>
            <w:tcW w:w="1310" w:type="dxa"/>
          </w:tcPr>
          <w:p w:rsidR="0061149A" w:rsidRPr="00692DB5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10.000</w:t>
            </w:r>
          </w:p>
        </w:tc>
      </w:tr>
      <w:tr w:rsidR="00E65557" w:rsidRPr="00692DB5" w:rsidTr="005E7B40">
        <w:tc>
          <w:tcPr>
            <w:tcW w:w="775" w:type="dxa"/>
          </w:tcPr>
          <w:p w:rsidR="00E65557" w:rsidRPr="00B8793B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E65557" w:rsidRPr="005F3C39" w:rsidRDefault="005F3C39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0601-8</w:t>
            </w:r>
          </w:p>
        </w:tc>
        <w:tc>
          <w:tcPr>
            <w:tcW w:w="2285" w:type="dxa"/>
          </w:tcPr>
          <w:p w:rsidR="00E65557" w:rsidRPr="00562405" w:rsidRDefault="00E65557" w:rsidP="005F3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5624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ЈП – комуналн</w:t>
            </w:r>
            <w:r w:rsidR="005F3C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о</w:t>
            </w:r>
          </w:p>
        </w:tc>
        <w:tc>
          <w:tcPr>
            <w:tcW w:w="1080" w:type="dxa"/>
          </w:tcPr>
          <w:p w:rsidR="00E65557" w:rsidRPr="00CB0337" w:rsidRDefault="005F3C39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9</w:t>
            </w:r>
            <w:r w:rsidR="00E65557" w:rsidRPr="00CB033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.500</w:t>
            </w:r>
          </w:p>
        </w:tc>
        <w:tc>
          <w:tcPr>
            <w:tcW w:w="1340" w:type="dxa"/>
          </w:tcPr>
          <w:p w:rsidR="00E65557" w:rsidRPr="00CC2BF7" w:rsidRDefault="00CC2BF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CC2BF7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="00E65557" w:rsidRPr="00CC2BF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310" w:type="dxa"/>
          </w:tcPr>
          <w:p w:rsidR="00E65557" w:rsidRPr="00692DB5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5.000</w:t>
            </w:r>
          </w:p>
        </w:tc>
        <w:tc>
          <w:tcPr>
            <w:tcW w:w="1310" w:type="dxa"/>
          </w:tcPr>
          <w:p w:rsidR="00E65557" w:rsidRPr="00692DB5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5.000</w:t>
            </w:r>
          </w:p>
        </w:tc>
      </w:tr>
      <w:tr w:rsidR="00E65557" w:rsidRPr="00692DB5" w:rsidTr="005E7B40">
        <w:tc>
          <w:tcPr>
            <w:tcW w:w="775" w:type="dxa"/>
          </w:tcPr>
          <w:p w:rsidR="00E65557" w:rsidRPr="00B8793B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E65557" w:rsidRPr="005F3C39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285" w:type="dxa"/>
          </w:tcPr>
          <w:p w:rsidR="00E65557" w:rsidRPr="00CB0337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</w:tcPr>
          <w:p w:rsidR="00E65557" w:rsidRPr="00CB0337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40" w:type="dxa"/>
          </w:tcPr>
          <w:p w:rsidR="00E65557" w:rsidRPr="00B8793B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310" w:type="dxa"/>
          </w:tcPr>
          <w:p w:rsidR="00E65557" w:rsidRPr="00692DB5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10" w:type="dxa"/>
          </w:tcPr>
          <w:p w:rsidR="00E65557" w:rsidRPr="00692DB5" w:rsidRDefault="00E6555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</w:tr>
      <w:tr w:rsidR="00E65557" w:rsidRPr="00692DB5" w:rsidTr="005E7B40">
        <w:tc>
          <w:tcPr>
            <w:tcW w:w="775" w:type="dxa"/>
          </w:tcPr>
          <w:p w:rsidR="00E65557" w:rsidRPr="00B8793B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E65557" w:rsidRPr="005F3C39" w:rsidRDefault="005F3C39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1501-5</w:t>
            </w:r>
          </w:p>
        </w:tc>
        <w:tc>
          <w:tcPr>
            <w:tcW w:w="2285" w:type="dxa"/>
          </w:tcPr>
          <w:p w:rsidR="00E65557" w:rsidRPr="00CB0337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CB03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Б фонд за развој</w:t>
            </w:r>
          </w:p>
        </w:tc>
        <w:tc>
          <w:tcPr>
            <w:tcW w:w="1080" w:type="dxa"/>
          </w:tcPr>
          <w:p w:rsidR="00E65557" w:rsidRPr="00CB0337" w:rsidRDefault="00E65557" w:rsidP="005F3C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CB033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3.</w:t>
            </w:r>
            <w:r w:rsidR="005F3C39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68</w:t>
            </w:r>
            <w:r w:rsidRPr="00CB033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40" w:type="dxa"/>
          </w:tcPr>
          <w:p w:rsidR="00E65557" w:rsidRPr="008714F2" w:rsidRDefault="008714F2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8714F2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="00E65557" w:rsidRPr="008714F2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310" w:type="dxa"/>
          </w:tcPr>
          <w:p w:rsidR="00E65557" w:rsidRPr="0038207A" w:rsidRDefault="0038207A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4.000</w:t>
            </w:r>
          </w:p>
        </w:tc>
        <w:tc>
          <w:tcPr>
            <w:tcW w:w="1310" w:type="dxa"/>
          </w:tcPr>
          <w:p w:rsidR="00E65557" w:rsidRPr="0038207A" w:rsidRDefault="0038207A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4.000</w:t>
            </w:r>
          </w:p>
        </w:tc>
      </w:tr>
      <w:tr w:rsidR="00E65557" w:rsidRPr="00692DB5" w:rsidTr="005E7B40">
        <w:tc>
          <w:tcPr>
            <w:tcW w:w="775" w:type="dxa"/>
          </w:tcPr>
          <w:p w:rsidR="00E65557" w:rsidRPr="00B8793B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E65557" w:rsidRPr="005F3C39" w:rsidRDefault="005F3C39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5F3C3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>1501-П1</w:t>
            </w:r>
          </w:p>
        </w:tc>
        <w:tc>
          <w:tcPr>
            <w:tcW w:w="2285" w:type="dxa"/>
          </w:tcPr>
          <w:p w:rsidR="00E65557" w:rsidRPr="00CB0337" w:rsidRDefault="005F3C39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Запошљавање</w:t>
            </w:r>
          </w:p>
        </w:tc>
        <w:tc>
          <w:tcPr>
            <w:tcW w:w="1080" w:type="dxa"/>
          </w:tcPr>
          <w:p w:rsidR="00E65557" w:rsidRPr="00CB0337" w:rsidRDefault="005F3C39" w:rsidP="005F3C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13</w:t>
            </w:r>
            <w:r w:rsidR="00E65557" w:rsidRPr="00CB033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000</w:t>
            </w:r>
          </w:p>
        </w:tc>
        <w:tc>
          <w:tcPr>
            <w:tcW w:w="1340" w:type="dxa"/>
          </w:tcPr>
          <w:p w:rsidR="00E65557" w:rsidRPr="008714F2" w:rsidRDefault="008714F2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8714F2"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  <w:r w:rsidR="00E65557" w:rsidRPr="008714F2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.500</w:t>
            </w:r>
          </w:p>
        </w:tc>
        <w:tc>
          <w:tcPr>
            <w:tcW w:w="1310" w:type="dxa"/>
          </w:tcPr>
          <w:p w:rsidR="00E65557" w:rsidRPr="00692DB5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24.000</w:t>
            </w:r>
          </w:p>
        </w:tc>
        <w:tc>
          <w:tcPr>
            <w:tcW w:w="1310" w:type="dxa"/>
          </w:tcPr>
          <w:p w:rsidR="00E65557" w:rsidRPr="00692DB5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24.000</w:t>
            </w:r>
          </w:p>
        </w:tc>
      </w:tr>
      <w:tr w:rsidR="005F3C39" w:rsidRPr="00692DB5" w:rsidTr="005E7B40">
        <w:tc>
          <w:tcPr>
            <w:tcW w:w="775" w:type="dxa"/>
          </w:tcPr>
          <w:p w:rsidR="005F3C39" w:rsidRPr="00B8793B" w:rsidRDefault="005F3C39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5F3C39" w:rsidRPr="005F3C39" w:rsidRDefault="005F3C39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1501-2</w:t>
            </w:r>
          </w:p>
        </w:tc>
        <w:tc>
          <w:tcPr>
            <w:tcW w:w="2285" w:type="dxa"/>
          </w:tcPr>
          <w:p w:rsidR="005F3C39" w:rsidRPr="00CB0337" w:rsidRDefault="005F3C39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Индустријска зона</w:t>
            </w:r>
          </w:p>
        </w:tc>
        <w:tc>
          <w:tcPr>
            <w:tcW w:w="1080" w:type="dxa"/>
          </w:tcPr>
          <w:p w:rsidR="005F3C39" w:rsidRPr="00CB0337" w:rsidRDefault="007538DF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15.130</w:t>
            </w:r>
          </w:p>
        </w:tc>
        <w:tc>
          <w:tcPr>
            <w:tcW w:w="1340" w:type="dxa"/>
          </w:tcPr>
          <w:p w:rsidR="005F3C39" w:rsidRPr="008714F2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  <w:r w:rsidR="008714F2" w:rsidRPr="008714F2">
              <w:rPr>
                <w:rFonts w:ascii="Times New Roman" w:hAnsi="Times New Roman" w:cs="Times New Roman"/>
                <w:bCs/>
                <w:sz w:val="22"/>
                <w:szCs w:val="22"/>
              </w:rPr>
              <w:t>6.000</w:t>
            </w:r>
          </w:p>
        </w:tc>
        <w:tc>
          <w:tcPr>
            <w:tcW w:w="1310" w:type="dxa"/>
          </w:tcPr>
          <w:p w:rsidR="005F3C39" w:rsidRPr="00692DB5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80.000</w:t>
            </w:r>
          </w:p>
        </w:tc>
        <w:tc>
          <w:tcPr>
            <w:tcW w:w="1310" w:type="dxa"/>
          </w:tcPr>
          <w:p w:rsidR="005F3C39" w:rsidRPr="00692DB5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80.000</w:t>
            </w:r>
          </w:p>
        </w:tc>
      </w:tr>
      <w:tr w:rsidR="005F3C39" w:rsidRPr="00692DB5" w:rsidTr="005E7B40">
        <w:tc>
          <w:tcPr>
            <w:tcW w:w="775" w:type="dxa"/>
          </w:tcPr>
          <w:p w:rsidR="005F3C39" w:rsidRPr="00B8793B" w:rsidRDefault="005F3C39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5F3C39" w:rsidRPr="005F3C39" w:rsidRDefault="005F3C39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285" w:type="dxa"/>
          </w:tcPr>
          <w:p w:rsidR="005F3C39" w:rsidRPr="00CB0337" w:rsidRDefault="005F3C39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</w:tcPr>
          <w:p w:rsidR="005F3C39" w:rsidRPr="00CB0337" w:rsidRDefault="005F3C39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40" w:type="dxa"/>
          </w:tcPr>
          <w:p w:rsidR="005F3C39" w:rsidRPr="00B8793B" w:rsidRDefault="005F3C39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310" w:type="dxa"/>
          </w:tcPr>
          <w:p w:rsidR="005F3C39" w:rsidRPr="00692DB5" w:rsidRDefault="005F3C39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10" w:type="dxa"/>
          </w:tcPr>
          <w:p w:rsidR="005F3C39" w:rsidRPr="00692DB5" w:rsidRDefault="005F3C39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</w:tr>
      <w:tr w:rsidR="007538DF" w:rsidRPr="00692DB5" w:rsidTr="005E7B40">
        <w:tc>
          <w:tcPr>
            <w:tcW w:w="775" w:type="dxa"/>
          </w:tcPr>
          <w:p w:rsidR="007538DF" w:rsidRPr="00B8793B" w:rsidRDefault="007538DF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7538DF" w:rsidRPr="005F3C39" w:rsidRDefault="007538DF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0101-2</w:t>
            </w:r>
          </w:p>
        </w:tc>
        <w:tc>
          <w:tcPr>
            <w:tcW w:w="2285" w:type="dxa"/>
          </w:tcPr>
          <w:p w:rsidR="007538DF" w:rsidRPr="00CB0337" w:rsidRDefault="007538DF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БФ Пољопривреда</w:t>
            </w:r>
          </w:p>
        </w:tc>
        <w:tc>
          <w:tcPr>
            <w:tcW w:w="1080" w:type="dxa"/>
          </w:tcPr>
          <w:p w:rsidR="007538DF" w:rsidRPr="00CB0337" w:rsidRDefault="007538DF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10.200</w:t>
            </w:r>
          </w:p>
        </w:tc>
        <w:tc>
          <w:tcPr>
            <w:tcW w:w="1340" w:type="dxa"/>
          </w:tcPr>
          <w:p w:rsidR="007538DF" w:rsidRPr="008372E9" w:rsidRDefault="00CC2BF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372E9">
              <w:rPr>
                <w:rFonts w:ascii="Times New Roman" w:hAnsi="Times New Roman" w:cs="Times New Roman"/>
                <w:bCs/>
                <w:sz w:val="22"/>
                <w:szCs w:val="22"/>
              </w:rPr>
              <w:t>12.000</w:t>
            </w:r>
          </w:p>
        </w:tc>
        <w:tc>
          <w:tcPr>
            <w:tcW w:w="1310" w:type="dxa"/>
          </w:tcPr>
          <w:p w:rsidR="007538DF" w:rsidRPr="00692DB5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13.000</w:t>
            </w:r>
          </w:p>
        </w:tc>
        <w:tc>
          <w:tcPr>
            <w:tcW w:w="1310" w:type="dxa"/>
          </w:tcPr>
          <w:p w:rsidR="007538DF" w:rsidRPr="00692DB5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13.000</w:t>
            </w:r>
          </w:p>
        </w:tc>
      </w:tr>
      <w:tr w:rsidR="007538DF" w:rsidRPr="00692DB5" w:rsidTr="005E7B40">
        <w:tc>
          <w:tcPr>
            <w:tcW w:w="775" w:type="dxa"/>
          </w:tcPr>
          <w:p w:rsidR="007538DF" w:rsidRPr="00B8793B" w:rsidRDefault="007538DF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7538DF" w:rsidRPr="005F3C39" w:rsidRDefault="007538DF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285" w:type="dxa"/>
          </w:tcPr>
          <w:p w:rsidR="007538DF" w:rsidRPr="00CB0337" w:rsidRDefault="007538DF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</w:tcPr>
          <w:p w:rsidR="007538DF" w:rsidRPr="00CB0337" w:rsidRDefault="007538DF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40" w:type="dxa"/>
          </w:tcPr>
          <w:p w:rsidR="007538DF" w:rsidRPr="008372E9" w:rsidRDefault="007538DF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10" w:type="dxa"/>
          </w:tcPr>
          <w:p w:rsidR="007538DF" w:rsidRPr="00692DB5" w:rsidRDefault="007538DF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10" w:type="dxa"/>
          </w:tcPr>
          <w:p w:rsidR="007538DF" w:rsidRPr="00692DB5" w:rsidRDefault="007538DF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</w:tr>
      <w:tr w:rsidR="00E65557" w:rsidRPr="00692DB5" w:rsidTr="005E7B40">
        <w:tc>
          <w:tcPr>
            <w:tcW w:w="775" w:type="dxa"/>
          </w:tcPr>
          <w:p w:rsidR="00E65557" w:rsidRPr="00B8793B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E65557" w:rsidRPr="005F3C39" w:rsidRDefault="007538DF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0401-2</w:t>
            </w:r>
          </w:p>
        </w:tc>
        <w:tc>
          <w:tcPr>
            <w:tcW w:w="2285" w:type="dxa"/>
          </w:tcPr>
          <w:p w:rsidR="00E65557" w:rsidRPr="00CB0337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CB03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БФ екологија</w:t>
            </w:r>
          </w:p>
        </w:tc>
        <w:tc>
          <w:tcPr>
            <w:tcW w:w="1080" w:type="dxa"/>
          </w:tcPr>
          <w:p w:rsidR="00E65557" w:rsidRPr="00CB0337" w:rsidRDefault="00E65557" w:rsidP="007538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CB033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4</w:t>
            </w:r>
            <w:r w:rsidR="007538DF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</w:t>
            </w:r>
            <w:r w:rsidRPr="00CB033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</w:t>
            </w:r>
            <w:r w:rsidR="007538DF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90</w:t>
            </w:r>
            <w:r w:rsidRPr="00CB033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40" w:type="dxa"/>
          </w:tcPr>
          <w:p w:rsidR="00E65557" w:rsidRPr="008372E9" w:rsidRDefault="00CC2BF7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8372E9">
              <w:rPr>
                <w:rFonts w:ascii="Times New Roman" w:hAnsi="Times New Roman" w:cs="Times New Roman"/>
                <w:bCs/>
                <w:sz w:val="22"/>
                <w:szCs w:val="22"/>
              </w:rPr>
              <w:t>45</w:t>
            </w:r>
            <w:r w:rsidR="00E65557" w:rsidRPr="008372E9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310" w:type="dxa"/>
          </w:tcPr>
          <w:p w:rsidR="00E65557" w:rsidRPr="00692DB5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43.000</w:t>
            </w:r>
          </w:p>
        </w:tc>
        <w:tc>
          <w:tcPr>
            <w:tcW w:w="1310" w:type="dxa"/>
          </w:tcPr>
          <w:p w:rsidR="00E65557" w:rsidRPr="00692DB5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42.000</w:t>
            </w:r>
          </w:p>
        </w:tc>
      </w:tr>
      <w:tr w:rsidR="007538DF" w:rsidRPr="00692DB5" w:rsidTr="005E7B40">
        <w:tc>
          <w:tcPr>
            <w:tcW w:w="775" w:type="dxa"/>
          </w:tcPr>
          <w:p w:rsidR="007538DF" w:rsidRPr="00B8793B" w:rsidRDefault="007538DF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7538DF" w:rsidRPr="005F3C39" w:rsidRDefault="007538DF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285" w:type="dxa"/>
          </w:tcPr>
          <w:p w:rsidR="007538DF" w:rsidRPr="00CB0337" w:rsidRDefault="007538DF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</w:tcPr>
          <w:p w:rsidR="007538DF" w:rsidRPr="00CB0337" w:rsidRDefault="007538DF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40" w:type="dxa"/>
          </w:tcPr>
          <w:p w:rsidR="007538DF" w:rsidRPr="008372E9" w:rsidRDefault="007538DF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10" w:type="dxa"/>
          </w:tcPr>
          <w:p w:rsidR="007538DF" w:rsidRPr="00692DB5" w:rsidRDefault="007538DF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10" w:type="dxa"/>
          </w:tcPr>
          <w:p w:rsidR="007538DF" w:rsidRPr="00692DB5" w:rsidRDefault="007538DF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</w:tr>
      <w:tr w:rsidR="00E65557" w:rsidRPr="00692DB5" w:rsidTr="005E7B40">
        <w:tc>
          <w:tcPr>
            <w:tcW w:w="775" w:type="dxa"/>
          </w:tcPr>
          <w:p w:rsidR="00E65557" w:rsidRPr="00B8793B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E65557" w:rsidRPr="005F3C39" w:rsidRDefault="007538DF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0901-6</w:t>
            </w:r>
          </w:p>
        </w:tc>
        <w:tc>
          <w:tcPr>
            <w:tcW w:w="2285" w:type="dxa"/>
          </w:tcPr>
          <w:p w:rsidR="00E65557" w:rsidRPr="00CB0337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CB03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ЛПА за децу</w:t>
            </w:r>
          </w:p>
        </w:tc>
        <w:tc>
          <w:tcPr>
            <w:tcW w:w="1080" w:type="dxa"/>
          </w:tcPr>
          <w:p w:rsidR="00E65557" w:rsidRPr="00CB0337" w:rsidRDefault="00E65557" w:rsidP="007538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CB033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3.</w:t>
            </w:r>
            <w:r w:rsidR="007538DF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02</w:t>
            </w:r>
            <w:r w:rsidRPr="00CB0337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40" w:type="dxa"/>
          </w:tcPr>
          <w:p w:rsidR="00E65557" w:rsidRPr="008372E9" w:rsidRDefault="00E65557" w:rsidP="00CC2B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8372E9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3.</w:t>
            </w:r>
            <w:r w:rsidR="00CC2BF7" w:rsidRPr="008372E9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  <w:r w:rsidRPr="008372E9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310" w:type="dxa"/>
          </w:tcPr>
          <w:p w:rsidR="00E65557" w:rsidRPr="00692DB5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4.000</w:t>
            </w:r>
          </w:p>
        </w:tc>
        <w:tc>
          <w:tcPr>
            <w:tcW w:w="1310" w:type="dxa"/>
          </w:tcPr>
          <w:p w:rsidR="00E65557" w:rsidRPr="00692DB5" w:rsidRDefault="00692DB5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4.000</w:t>
            </w:r>
          </w:p>
        </w:tc>
      </w:tr>
      <w:tr w:rsidR="007538DF" w:rsidRPr="00692DB5" w:rsidTr="005E7B40">
        <w:tc>
          <w:tcPr>
            <w:tcW w:w="775" w:type="dxa"/>
          </w:tcPr>
          <w:p w:rsidR="007538DF" w:rsidRPr="00B8793B" w:rsidRDefault="007538DF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7538DF" w:rsidRPr="00CB0337" w:rsidRDefault="007538DF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285" w:type="dxa"/>
          </w:tcPr>
          <w:p w:rsidR="007538DF" w:rsidRPr="00CB0337" w:rsidRDefault="007538DF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</w:tcPr>
          <w:p w:rsidR="007538DF" w:rsidRPr="00CB0337" w:rsidRDefault="007538DF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40" w:type="dxa"/>
          </w:tcPr>
          <w:p w:rsidR="007538DF" w:rsidRPr="008372E9" w:rsidRDefault="007538DF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10" w:type="dxa"/>
          </w:tcPr>
          <w:p w:rsidR="007538DF" w:rsidRPr="00692DB5" w:rsidRDefault="007538DF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10" w:type="dxa"/>
          </w:tcPr>
          <w:p w:rsidR="007538DF" w:rsidRPr="00692DB5" w:rsidRDefault="007538DF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</w:tr>
      <w:tr w:rsidR="00E65557" w:rsidRPr="00692DB5" w:rsidTr="005E7B40">
        <w:tc>
          <w:tcPr>
            <w:tcW w:w="775" w:type="dxa"/>
          </w:tcPr>
          <w:p w:rsidR="00E65557" w:rsidRPr="00B8793B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800" w:type="dxa"/>
          </w:tcPr>
          <w:p w:rsidR="00E65557" w:rsidRPr="007538DF" w:rsidRDefault="007538DF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7538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1501-5</w:t>
            </w:r>
          </w:p>
        </w:tc>
        <w:tc>
          <w:tcPr>
            <w:tcW w:w="2285" w:type="dxa"/>
          </w:tcPr>
          <w:p w:rsidR="00E65557" w:rsidRPr="00CB0337" w:rsidRDefault="00E65557" w:rsidP="005E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CB03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Остали трансфери</w:t>
            </w:r>
          </w:p>
        </w:tc>
        <w:tc>
          <w:tcPr>
            <w:tcW w:w="1080" w:type="dxa"/>
          </w:tcPr>
          <w:p w:rsidR="00E65557" w:rsidRPr="00CB0337" w:rsidRDefault="007538DF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7.800</w:t>
            </w:r>
          </w:p>
        </w:tc>
        <w:tc>
          <w:tcPr>
            <w:tcW w:w="1340" w:type="dxa"/>
          </w:tcPr>
          <w:p w:rsidR="00E65557" w:rsidRPr="008372E9" w:rsidRDefault="00E65557" w:rsidP="008372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8372E9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1</w:t>
            </w:r>
            <w:r w:rsidR="008372E9" w:rsidRPr="008372E9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8372E9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310" w:type="dxa"/>
          </w:tcPr>
          <w:p w:rsidR="00E65557" w:rsidRPr="00692DB5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10.000</w:t>
            </w:r>
          </w:p>
        </w:tc>
        <w:tc>
          <w:tcPr>
            <w:tcW w:w="1310" w:type="dxa"/>
          </w:tcPr>
          <w:p w:rsidR="00E65557" w:rsidRPr="00692DB5" w:rsidRDefault="00692DB5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10.000</w:t>
            </w:r>
          </w:p>
        </w:tc>
      </w:tr>
      <w:tr w:rsidR="00E65557" w:rsidTr="005E7B40">
        <w:tc>
          <w:tcPr>
            <w:tcW w:w="3860" w:type="dxa"/>
            <w:gridSpan w:val="3"/>
          </w:tcPr>
          <w:p w:rsidR="00E65557" w:rsidRPr="00CB0337" w:rsidRDefault="00E65557" w:rsidP="005E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CB03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УКУПНО (1 до 5)</w:t>
            </w:r>
          </w:p>
        </w:tc>
        <w:tc>
          <w:tcPr>
            <w:tcW w:w="1080" w:type="dxa"/>
          </w:tcPr>
          <w:p w:rsidR="00E65557" w:rsidRPr="00CB0337" w:rsidRDefault="00612250" w:rsidP="0061225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53</w:t>
            </w:r>
            <w:r w:rsidR="00E65557" w:rsidRPr="00CB03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54</w:t>
            </w:r>
            <w:r w:rsidR="00E65557" w:rsidRPr="00CB03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40" w:type="dxa"/>
          </w:tcPr>
          <w:p w:rsidR="00E65557" w:rsidRPr="005A0FAC" w:rsidRDefault="005A0FAC" w:rsidP="0069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5A0F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6</w:t>
            </w:r>
            <w:r w:rsidR="00692D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  <w:r w:rsidRPr="005A0F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7</w:t>
            </w:r>
            <w:r w:rsidR="00E65557" w:rsidRPr="005A0F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310" w:type="dxa"/>
          </w:tcPr>
          <w:p w:rsidR="00E65557" w:rsidRPr="005A0FAC" w:rsidRDefault="00E65557" w:rsidP="005A0F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5A0F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6</w:t>
            </w:r>
            <w:r w:rsidR="005A0FAC" w:rsidRPr="005A0F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64</w:t>
            </w:r>
            <w:r w:rsidRPr="005A0F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310" w:type="dxa"/>
          </w:tcPr>
          <w:p w:rsidR="00E65557" w:rsidRPr="005A0FAC" w:rsidRDefault="005A0FAC" w:rsidP="005E7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5A0F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710</w:t>
            </w:r>
            <w:r w:rsidR="00E65557" w:rsidRPr="005A0F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.000</w:t>
            </w:r>
          </w:p>
        </w:tc>
      </w:tr>
    </w:tbl>
    <w:p w:rsidR="00E65557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E65557" w:rsidRDefault="00E65557" w:rsidP="00E65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E65557" w:rsidRPr="00A02D90" w:rsidRDefault="00E65557" w:rsidP="00E655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  <w:r w:rsidRPr="00A02D90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 СМЕРНИЦЕ ЗА ПРИПРЕМУ ПЛАНОВА ДИРЕКТНИХ КОРИСНИКА</w:t>
      </w:r>
    </w:p>
    <w:p w:rsidR="00E65557" w:rsidRDefault="00E65557" w:rsidP="00E65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E65557" w:rsidRPr="00976DC6" w:rsidRDefault="00E65557" w:rsidP="00E65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E65557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4EC9">
        <w:rPr>
          <w:rFonts w:ascii="Times New Roman" w:hAnsi="Times New Roman" w:cs="Times New Roman"/>
          <w:bCs/>
          <w:sz w:val="22"/>
          <w:szCs w:val="22"/>
        </w:rPr>
        <w:t>Приликом планирања предлога финансијског плана треба имати у виду следеће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параметре:</w:t>
      </w:r>
    </w:p>
    <w:p w:rsidR="00E65557" w:rsidRPr="00514EC9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35854" w:rsidRDefault="00635854" w:rsidP="00635854">
      <w:pPr>
        <w:pStyle w:val="Default"/>
        <w:jc w:val="center"/>
        <w:rPr>
          <w:sz w:val="23"/>
          <w:szCs w:val="23"/>
        </w:rPr>
      </w:pPr>
      <w:proofErr w:type="gramStart"/>
      <w:r>
        <w:rPr>
          <w:b/>
          <w:bCs/>
          <w:i/>
          <w:iCs/>
          <w:sz w:val="23"/>
          <w:szCs w:val="23"/>
        </w:rPr>
        <w:t>Планирање масе средстава за плате запослених у 2016.</w:t>
      </w:r>
      <w:proofErr w:type="gramEnd"/>
      <w:r>
        <w:rPr>
          <w:b/>
          <w:bCs/>
          <w:i/>
          <w:iCs/>
          <w:sz w:val="23"/>
          <w:szCs w:val="23"/>
        </w:rPr>
        <w:t xml:space="preserve"> </w:t>
      </w:r>
      <w:proofErr w:type="gramStart"/>
      <w:r>
        <w:rPr>
          <w:b/>
          <w:bCs/>
          <w:i/>
          <w:iCs/>
          <w:sz w:val="23"/>
          <w:szCs w:val="23"/>
        </w:rPr>
        <w:t>години</w:t>
      </w:r>
      <w:proofErr w:type="gramEnd"/>
    </w:p>
    <w:p w:rsidR="00635854" w:rsidRDefault="00635854" w:rsidP="00635854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1. Законско уређење плата</w:t>
      </w:r>
    </w:p>
    <w:p w:rsidR="00635854" w:rsidRDefault="00635854" w:rsidP="0063585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Плате запослених код корисника буџета локалне власти уређене су у складу са Законом о платама у државним органима и јавним службама („Службени гласник РС</w:t>
      </w:r>
      <w:r>
        <w:rPr>
          <w:sz w:val="23"/>
          <w:szCs w:val="23"/>
          <w:lang w:val="sr-Cyrl-CS"/>
        </w:rPr>
        <w:t>“</w:t>
      </w:r>
      <w:r>
        <w:rPr>
          <w:sz w:val="23"/>
          <w:szCs w:val="23"/>
        </w:rPr>
        <w:t>, бр. 62/06,...99/14), Законом о привременом уређивању основица за обрачун и исплату плата, односно зарада и других сталних примања код корисника јавних средстава („Службени гласник РС</w:t>
      </w:r>
      <w:r>
        <w:rPr>
          <w:sz w:val="23"/>
          <w:szCs w:val="23"/>
          <w:lang w:val="sr-Cyrl-CS"/>
        </w:rPr>
        <w:t>“</w:t>
      </w:r>
      <w:r>
        <w:rPr>
          <w:sz w:val="23"/>
          <w:szCs w:val="23"/>
        </w:rPr>
        <w:t>, број 116/14) и Уредбом о коефицијентима за обрачун и исплату плата именованих и постављених лица и запослених у државним органима („Службени гласник РС</w:t>
      </w:r>
      <w:r>
        <w:rPr>
          <w:sz w:val="23"/>
          <w:szCs w:val="23"/>
          <w:lang w:val="sr-Cyrl-CS"/>
        </w:rPr>
        <w:t>“</w:t>
      </w:r>
      <w:r>
        <w:rPr>
          <w:sz w:val="23"/>
          <w:szCs w:val="23"/>
        </w:rPr>
        <w:t xml:space="preserve">, бр. 44/08 – пречишћен текст и 2/12). </w:t>
      </w:r>
    </w:p>
    <w:p w:rsidR="00635854" w:rsidRDefault="00635854" w:rsidP="0063585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Приликом обрачуна и исплате плата примењују се основице према закључцима Владе Републике Србије 05 Број: 121-13957/2014 и 05 Број: 121-13956/2014 од 6. </w:t>
      </w:r>
      <w:proofErr w:type="gramStart"/>
      <w:r>
        <w:rPr>
          <w:sz w:val="23"/>
          <w:szCs w:val="23"/>
        </w:rPr>
        <w:t>новембра</w:t>
      </w:r>
      <w:proofErr w:type="gramEnd"/>
      <w:r>
        <w:rPr>
          <w:sz w:val="23"/>
          <w:szCs w:val="23"/>
        </w:rPr>
        <w:t xml:space="preserve"> 2014. </w:t>
      </w:r>
      <w:proofErr w:type="gramStart"/>
      <w:r>
        <w:rPr>
          <w:sz w:val="23"/>
          <w:szCs w:val="23"/>
        </w:rPr>
        <w:t>године</w:t>
      </w:r>
      <w:proofErr w:type="gramEnd"/>
      <w:r>
        <w:rPr>
          <w:sz w:val="23"/>
          <w:szCs w:val="23"/>
        </w:rPr>
        <w:t xml:space="preserve">. </w:t>
      </w:r>
    </w:p>
    <w:p w:rsidR="00635854" w:rsidRPr="00635854" w:rsidRDefault="00635854" w:rsidP="0063585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23"/>
          <w:szCs w:val="23"/>
          <w:lang w:val="sr-Cyrl-CS"/>
        </w:rPr>
      </w:pPr>
      <w:r>
        <w:rPr>
          <w:b/>
          <w:bCs/>
          <w:i/>
          <w:iCs/>
          <w:sz w:val="23"/>
          <w:szCs w:val="23"/>
        </w:rPr>
        <w:t>2. Законом уређена основица</w:t>
      </w:r>
      <w:r>
        <w:rPr>
          <w:b/>
          <w:bCs/>
          <w:i/>
          <w:iCs/>
          <w:sz w:val="23"/>
          <w:szCs w:val="23"/>
          <w:lang w:val="sr-Cyrl-CS"/>
        </w:rPr>
        <w:t xml:space="preserve"> </w:t>
      </w:r>
      <w:r>
        <w:rPr>
          <w:b/>
          <w:bCs/>
          <w:i/>
          <w:iCs/>
          <w:sz w:val="23"/>
          <w:szCs w:val="23"/>
        </w:rPr>
        <w:t>за обрачун плата</w:t>
      </w:r>
    </w:p>
    <w:p w:rsidR="00635854" w:rsidRDefault="00635854" w:rsidP="0063585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23"/>
          <w:szCs w:val="23"/>
          <w:lang w:val="sr-Cyrl-CS"/>
        </w:rPr>
      </w:pPr>
    </w:p>
    <w:p w:rsidR="00635854" w:rsidRPr="00635854" w:rsidRDefault="00635854" w:rsidP="00635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35854">
        <w:rPr>
          <w:rFonts w:ascii="Times New Roman" w:hAnsi="Times New Roman" w:cs="Times New Roman"/>
          <w:sz w:val="22"/>
          <w:szCs w:val="22"/>
        </w:rPr>
        <w:t xml:space="preserve">На предлог Владе Републике Србије Народна скупштина је донела Закон о привременом уређивању основица за обрачун и исплату плата, односно зарада и других сталних </w:t>
      </w:r>
      <w:r w:rsidRPr="00635854">
        <w:rPr>
          <w:rFonts w:ascii="Times New Roman" w:hAnsi="Times New Roman" w:cs="Times New Roman"/>
          <w:sz w:val="22"/>
          <w:szCs w:val="22"/>
          <w:lang w:val="sr-Cyrl-CS"/>
        </w:rPr>
        <w:t>п</w:t>
      </w:r>
      <w:r w:rsidRPr="00635854">
        <w:rPr>
          <w:rFonts w:ascii="Times New Roman" w:hAnsi="Times New Roman" w:cs="Times New Roman"/>
          <w:sz w:val="22"/>
          <w:szCs w:val="22"/>
        </w:rPr>
        <w:t xml:space="preserve">римања код корисника јавних средстава који је објављен у „Службеном гласнику РС“, број 116/14 од 27. </w:t>
      </w:r>
      <w:proofErr w:type="gramStart"/>
      <w:r w:rsidRPr="00635854">
        <w:rPr>
          <w:rFonts w:ascii="Times New Roman" w:hAnsi="Times New Roman" w:cs="Times New Roman"/>
          <w:sz w:val="22"/>
          <w:szCs w:val="22"/>
        </w:rPr>
        <w:t>октобра</w:t>
      </w:r>
      <w:proofErr w:type="gramEnd"/>
      <w:r w:rsidRPr="00635854">
        <w:rPr>
          <w:rFonts w:ascii="Times New Roman" w:hAnsi="Times New Roman" w:cs="Times New Roman"/>
          <w:sz w:val="22"/>
          <w:szCs w:val="22"/>
        </w:rPr>
        <w:t xml:space="preserve"> 2014. </w:t>
      </w:r>
      <w:proofErr w:type="gramStart"/>
      <w:r w:rsidRPr="00635854">
        <w:rPr>
          <w:rFonts w:ascii="Times New Roman" w:hAnsi="Times New Roman" w:cs="Times New Roman"/>
          <w:sz w:val="22"/>
          <w:szCs w:val="22"/>
        </w:rPr>
        <w:t>године</w:t>
      </w:r>
      <w:proofErr w:type="gramEnd"/>
      <w:r w:rsidRPr="00635854">
        <w:rPr>
          <w:rFonts w:ascii="Times New Roman" w:hAnsi="Times New Roman" w:cs="Times New Roman"/>
          <w:sz w:val="22"/>
          <w:szCs w:val="22"/>
        </w:rPr>
        <w:t>.</w:t>
      </w:r>
    </w:p>
    <w:p w:rsidR="00635854" w:rsidRPr="00635854" w:rsidRDefault="00635854" w:rsidP="00635854">
      <w:pPr>
        <w:pStyle w:val="Default"/>
        <w:jc w:val="both"/>
        <w:rPr>
          <w:sz w:val="22"/>
          <w:szCs w:val="22"/>
        </w:rPr>
      </w:pPr>
      <w:proofErr w:type="gramStart"/>
      <w:r w:rsidRPr="00635854">
        <w:rPr>
          <w:sz w:val="22"/>
          <w:szCs w:val="22"/>
        </w:rPr>
        <w:t>Према члану 1.</w:t>
      </w:r>
      <w:proofErr w:type="gramEnd"/>
      <w:r w:rsidRPr="00635854">
        <w:rPr>
          <w:sz w:val="22"/>
          <w:szCs w:val="22"/>
        </w:rPr>
        <w:t xml:space="preserve"> </w:t>
      </w:r>
      <w:proofErr w:type="gramStart"/>
      <w:r w:rsidRPr="00635854">
        <w:rPr>
          <w:sz w:val="22"/>
          <w:szCs w:val="22"/>
        </w:rPr>
        <w:t>Закона привремено се уређује основица односно вредност радног часа, вредност бода и вредност основне зараде, за обрачун и исплату плата односно зарада као и других сталних примања изабраних, именованих, постављених и запослених лица код корисника јавних средстава.</w:t>
      </w:r>
      <w:proofErr w:type="gramEnd"/>
      <w:r w:rsidRPr="00635854">
        <w:rPr>
          <w:sz w:val="22"/>
          <w:szCs w:val="22"/>
        </w:rPr>
        <w:t xml:space="preserve"> </w:t>
      </w:r>
    </w:p>
    <w:p w:rsidR="00635854" w:rsidRPr="00635854" w:rsidRDefault="00635854" w:rsidP="00635854">
      <w:pPr>
        <w:pStyle w:val="Default"/>
        <w:jc w:val="both"/>
        <w:rPr>
          <w:sz w:val="22"/>
          <w:szCs w:val="22"/>
        </w:rPr>
      </w:pPr>
      <w:proofErr w:type="gramStart"/>
      <w:r w:rsidRPr="00635854">
        <w:rPr>
          <w:sz w:val="22"/>
          <w:szCs w:val="22"/>
        </w:rPr>
        <w:t>У складу са чланом 5.</w:t>
      </w:r>
      <w:proofErr w:type="gramEnd"/>
      <w:r w:rsidRPr="00635854">
        <w:rPr>
          <w:sz w:val="22"/>
          <w:szCs w:val="22"/>
        </w:rPr>
        <w:t xml:space="preserve"> </w:t>
      </w:r>
      <w:proofErr w:type="gramStart"/>
      <w:r w:rsidRPr="00635854">
        <w:rPr>
          <w:sz w:val="22"/>
          <w:szCs w:val="22"/>
        </w:rPr>
        <w:t>став</w:t>
      </w:r>
      <w:proofErr w:type="gramEnd"/>
      <w:r w:rsidRPr="00635854">
        <w:rPr>
          <w:sz w:val="22"/>
          <w:szCs w:val="22"/>
        </w:rPr>
        <w:t xml:space="preserve"> 1. </w:t>
      </w:r>
      <w:proofErr w:type="gramStart"/>
      <w:r w:rsidRPr="00635854">
        <w:rPr>
          <w:sz w:val="22"/>
          <w:szCs w:val="22"/>
        </w:rPr>
        <w:t>Закона, основица за обрачун и исплату плата код корисника јавних средстава, утврђена законом, другим прописом или другим општим или појединачним актом, који је у примени на дан доношења овог закона, умањује се за 10%.</w:t>
      </w:r>
      <w:proofErr w:type="gramEnd"/>
      <w:r w:rsidRPr="00635854">
        <w:rPr>
          <w:sz w:val="22"/>
          <w:szCs w:val="22"/>
        </w:rPr>
        <w:t xml:space="preserve"> </w:t>
      </w:r>
    </w:p>
    <w:p w:rsidR="00635854" w:rsidRDefault="00635854" w:rsidP="00635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proofErr w:type="gramStart"/>
      <w:r w:rsidRPr="00635854">
        <w:rPr>
          <w:rFonts w:ascii="Times New Roman" w:hAnsi="Times New Roman" w:cs="Times New Roman"/>
          <w:sz w:val="22"/>
          <w:szCs w:val="22"/>
        </w:rPr>
        <w:t>Ништаве су одредбе општег или појединачног акта (осим појединачног акта којим се плата повећава по основу напредовања) којима се повећавају основице, коефицијенти и други елементи, односно уводе нови елементи, на основу којих се повећава износ плата и другог сталног примања код субјеката из члана 2.</w:t>
      </w:r>
      <w:proofErr w:type="gramEnd"/>
      <w:r w:rsidRPr="0063585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35854">
        <w:rPr>
          <w:rFonts w:ascii="Times New Roman" w:hAnsi="Times New Roman" w:cs="Times New Roman"/>
          <w:sz w:val="22"/>
          <w:szCs w:val="22"/>
        </w:rPr>
        <w:t>овог</w:t>
      </w:r>
      <w:proofErr w:type="gramEnd"/>
      <w:r w:rsidRPr="00635854">
        <w:rPr>
          <w:rFonts w:ascii="Times New Roman" w:hAnsi="Times New Roman" w:cs="Times New Roman"/>
          <w:sz w:val="22"/>
          <w:szCs w:val="22"/>
        </w:rPr>
        <w:t xml:space="preserve"> закона, донет за време примене овог закона (члан 4. </w:t>
      </w:r>
      <w:proofErr w:type="gramStart"/>
      <w:r w:rsidRPr="00635854">
        <w:rPr>
          <w:rFonts w:ascii="Times New Roman" w:hAnsi="Times New Roman" w:cs="Times New Roman"/>
          <w:sz w:val="22"/>
          <w:szCs w:val="22"/>
        </w:rPr>
        <w:t>Закона).</w:t>
      </w:r>
      <w:proofErr w:type="gramEnd"/>
    </w:p>
    <w:p w:rsidR="00635854" w:rsidRPr="00635854" w:rsidRDefault="00635854" w:rsidP="00635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635854" w:rsidRDefault="00635854" w:rsidP="0063585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23"/>
          <w:szCs w:val="23"/>
          <w:lang w:val="sr-Cyrl-CS"/>
        </w:rPr>
      </w:pPr>
      <w:r>
        <w:rPr>
          <w:b/>
          <w:bCs/>
          <w:i/>
          <w:iCs/>
          <w:sz w:val="23"/>
          <w:szCs w:val="23"/>
        </w:rPr>
        <w:t>3. Планирање масе средстава за плате у одлукама о буџету за 201</w:t>
      </w:r>
      <w:r w:rsidR="000D6D98">
        <w:rPr>
          <w:b/>
          <w:bCs/>
          <w:i/>
          <w:iCs/>
          <w:sz w:val="23"/>
          <w:szCs w:val="23"/>
          <w:lang w:val="sr-Cyrl-CS"/>
        </w:rPr>
        <w:t>6</w:t>
      </w:r>
      <w:r>
        <w:rPr>
          <w:b/>
          <w:bCs/>
          <w:i/>
          <w:iCs/>
          <w:sz w:val="23"/>
          <w:szCs w:val="23"/>
        </w:rPr>
        <w:t xml:space="preserve">. </w:t>
      </w:r>
      <w:r w:rsidR="000D6D98">
        <w:rPr>
          <w:b/>
          <w:bCs/>
          <w:i/>
          <w:iCs/>
          <w:sz w:val="23"/>
          <w:szCs w:val="23"/>
          <w:lang w:val="sr-Cyrl-CS"/>
        </w:rPr>
        <w:t>г</w:t>
      </w:r>
      <w:r>
        <w:rPr>
          <w:b/>
          <w:bCs/>
          <w:i/>
          <w:iCs/>
          <w:sz w:val="23"/>
          <w:szCs w:val="23"/>
        </w:rPr>
        <w:t>одину</w:t>
      </w:r>
    </w:p>
    <w:p w:rsidR="00635854" w:rsidRDefault="00635854" w:rsidP="0063585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23"/>
          <w:szCs w:val="23"/>
          <w:lang w:val="sr-Cyrl-CS"/>
        </w:rPr>
      </w:pPr>
    </w:p>
    <w:p w:rsidR="00E65557" w:rsidRPr="00514EC9" w:rsidRDefault="000D6D98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  <w:lang w:val="sr-Cyrl-CS"/>
        </w:rPr>
        <w:t>Ч</w:t>
      </w:r>
      <w:r w:rsidR="00E65557" w:rsidRPr="00514EC9">
        <w:rPr>
          <w:rFonts w:ascii="Times New Roman" w:hAnsi="Times New Roman" w:cs="Times New Roman"/>
          <w:bCs/>
          <w:sz w:val="22"/>
          <w:szCs w:val="22"/>
        </w:rPr>
        <w:t>ланом</w:t>
      </w:r>
      <w:r w:rsidR="00E6555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65557" w:rsidRPr="00514EC9">
        <w:rPr>
          <w:rFonts w:ascii="Times New Roman" w:hAnsi="Times New Roman" w:cs="Times New Roman"/>
          <w:bCs/>
          <w:sz w:val="22"/>
          <w:szCs w:val="22"/>
        </w:rPr>
        <w:t xml:space="preserve">27.е Закона о буџетском систему, дефинисано ће се плате у априлу 2016. </w:t>
      </w:r>
      <w:proofErr w:type="gramStart"/>
      <w:r w:rsidR="00E65557" w:rsidRPr="00514EC9">
        <w:rPr>
          <w:rFonts w:ascii="Times New Roman" w:hAnsi="Times New Roman" w:cs="Times New Roman"/>
          <w:bCs/>
          <w:sz w:val="22"/>
          <w:szCs w:val="22"/>
        </w:rPr>
        <w:t>године</w:t>
      </w:r>
      <w:proofErr w:type="gramEnd"/>
      <w:r w:rsidR="00E65557" w:rsidRPr="00514EC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17D06">
        <w:rPr>
          <w:rFonts w:ascii="Times New Roman" w:hAnsi="Times New Roman" w:cs="Times New Roman"/>
          <w:bCs/>
          <w:sz w:val="22"/>
          <w:szCs w:val="22"/>
          <w:lang w:val="sr-Cyrl-CS"/>
        </w:rPr>
        <w:t>повећати</w:t>
      </w:r>
      <w:r w:rsidR="00E65557" w:rsidRPr="00514EC9">
        <w:rPr>
          <w:rFonts w:ascii="Times New Roman" w:hAnsi="Times New Roman" w:cs="Times New Roman"/>
          <w:bCs/>
          <w:sz w:val="22"/>
          <w:szCs w:val="22"/>
        </w:rPr>
        <w:t xml:space="preserve"> за 0,5%, и у октобру 2016. </w:t>
      </w:r>
      <w:proofErr w:type="gramStart"/>
      <w:r w:rsidR="00E65557" w:rsidRPr="00514EC9">
        <w:rPr>
          <w:rFonts w:ascii="Times New Roman" w:hAnsi="Times New Roman" w:cs="Times New Roman"/>
          <w:bCs/>
          <w:sz w:val="22"/>
          <w:szCs w:val="22"/>
        </w:rPr>
        <w:t>године</w:t>
      </w:r>
      <w:proofErr w:type="gramEnd"/>
      <w:r w:rsidR="00E65557" w:rsidRPr="00514EC9">
        <w:rPr>
          <w:rFonts w:ascii="Times New Roman" w:hAnsi="Times New Roman" w:cs="Times New Roman"/>
          <w:bCs/>
          <w:sz w:val="22"/>
          <w:szCs w:val="22"/>
        </w:rPr>
        <w:t xml:space="preserve"> за 0,5%.</w:t>
      </w:r>
    </w:p>
    <w:p w:rsidR="00E65557" w:rsidRPr="00514EC9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Фискална правила која уређују кретање плата и пензија примењиваће се и након 2016.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године, с тим што ће се у априлу плате и пензије усклађивати збиром раста потрошачких цена у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претходних шест месеци и дела стопе реалног раста БДП у претходној години изнад 4%, а у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октобру усклађиваће се стопом раста потрошачких цена у претходних шест месеци, све док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учешће пензија у БДП не достигне 10%, а учешће плата 8%.</w:t>
      </w:r>
    </w:p>
    <w:p w:rsidR="00BA3572" w:rsidRDefault="00817D06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  <w:r w:rsidRPr="00817D06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У недостатку детаљних инструкција</w:t>
      </w:r>
      <w:r w:rsidR="00697F9F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,</w:t>
      </w:r>
      <w:r w:rsidRPr="00817D06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предлажемо да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sr-Cyrl-CS"/>
        </w:rPr>
        <w:t xml:space="preserve"> </w:t>
      </w:r>
      <w:r w:rsidR="00E65557" w:rsidRPr="00E44FD4">
        <w:rPr>
          <w:rFonts w:ascii="Times New Roman" w:hAnsi="Times New Roman" w:cs="Times New Roman"/>
          <w:b/>
          <w:bCs/>
          <w:sz w:val="22"/>
          <w:szCs w:val="22"/>
          <w:u w:val="single"/>
        </w:rPr>
        <w:t>Корисници у предлогу финансијског плана у 201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sr-Cyrl-CS"/>
        </w:rPr>
        <w:t>6</w:t>
      </w:r>
      <w:r w:rsidR="00E65557" w:rsidRPr="00E44FD4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. </w:t>
      </w:r>
      <w:proofErr w:type="gramStart"/>
      <w:r w:rsidR="00E65557" w:rsidRPr="00E44FD4">
        <w:rPr>
          <w:rFonts w:ascii="Times New Roman" w:hAnsi="Times New Roman" w:cs="Times New Roman"/>
          <w:b/>
          <w:bCs/>
          <w:sz w:val="22"/>
          <w:szCs w:val="22"/>
          <w:u w:val="single"/>
        </w:rPr>
        <w:t>години</w:t>
      </w:r>
      <w:proofErr w:type="gramEnd"/>
      <w:r w:rsidR="00E65557" w:rsidRPr="00E44FD4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могу планирати масу средстава потребну за исплату дванаест месечних плата запослених које се финансирају из буџета </w:t>
      </w:r>
      <w:r w:rsidR="00BA3572">
        <w:rPr>
          <w:rFonts w:ascii="Times New Roman" w:hAnsi="Times New Roman" w:cs="Times New Roman"/>
          <w:b/>
          <w:bCs/>
          <w:sz w:val="22"/>
          <w:szCs w:val="22"/>
          <w:u w:val="single"/>
          <w:lang w:val="sr-Cyrl-CS"/>
        </w:rPr>
        <w:t>Општине Владичин Хан</w:t>
      </w:r>
      <w:r w:rsidR="00E65557" w:rsidRPr="00E44FD4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, полазећи од укупног износа средстава за плате који је планиран у складу са одредбама </w:t>
      </w:r>
      <w:r w:rsidR="00BA3572">
        <w:rPr>
          <w:rFonts w:ascii="Times New Roman" w:hAnsi="Times New Roman" w:cs="Times New Roman"/>
          <w:b/>
          <w:bCs/>
          <w:sz w:val="22"/>
          <w:szCs w:val="22"/>
          <w:u w:val="single"/>
          <w:lang w:val="sr-Cyrl-CS"/>
        </w:rPr>
        <w:t>Одлуке</w:t>
      </w:r>
      <w:r w:rsidR="00E65557" w:rsidRPr="00E44FD4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о буџету </w:t>
      </w:r>
      <w:r w:rsidR="00BA3572">
        <w:rPr>
          <w:rFonts w:ascii="Times New Roman" w:hAnsi="Times New Roman" w:cs="Times New Roman"/>
          <w:b/>
          <w:bCs/>
          <w:sz w:val="22"/>
          <w:szCs w:val="22"/>
          <w:u w:val="single"/>
          <w:lang w:val="sr-Cyrl-CS"/>
        </w:rPr>
        <w:t xml:space="preserve">Општине </w:t>
      </w:r>
      <w:r w:rsidR="00E65557" w:rsidRPr="00E44FD4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за 201</w:t>
      </w:r>
      <w:r w:rsidR="00BA3572">
        <w:rPr>
          <w:rFonts w:ascii="Times New Roman" w:hAnsi="Times New Roman" w:cs="Times New Roman"/>
          <w:b/>
          <w:bCs/>
          <w:sz w:val="22"/>
          <w:szCs w:val="22"/>
          <w:u w:val="single"/>
          <w:lang w:val="sr-Cyrl-CS"/>
        </w:rPr>
        <w:t>5</w:t>
      </w:r>
      <w:r w:rsidR="00E65557" w:rsidRPr="00E44FD4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. </w:t>
      </w:r>
      <w:proofErr w:type="gramStart"/>
      <w:r w:rsidR="00E65557" w:rsidRPr="00E44FD4">
        <w:rPr>
          <w:rFonts w:ascii="Times New Roman" w:hAnsi="Times New Roman" w:cs="Times New Roman"/>
          <w:b/>
          <w:bCs/>
          <w:sz w:val="22"/>
          <w:szCs w:val="22"/>
          <w:u w:val="single"/>
        </w:rPr>
        <w:t>годину</w:t>
      </w:r>
      <w:r w:rsidR="00E65557" w:rsidRPr="00514EC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65557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с</w:t>
      </w:r>
      <w:r w:rsidR="00BA3572">
        <w:rPr>
          <w:rFonts w:ascii="Times New Roman" w:hAnsi="Times New Roman" w:cs="Times New Roman"/>
          <w:bCs/>
          <w:sz w:val="22"/>
          <w:szCs w:val="22"/>
          <w:lang w:val="sr-Cyrl-CS"/>
        </w:rPr>
        <w:t>а</w:t>
      </w:r>
      <w:proofErr w:type="gramEnd"/>
      <w:r w:rsidR="00E65557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увећање</w:t>
      </w:r>
      <w:r w:rsidR="00BA3572">
        <w:rPr>
          <w:rFonts w:ascii="Times New Roman" w:hAnsi="Times New Roman" w:cs="Times New Roman"/>
          <w:bCs/>
          <w:sz w:val="22"/>
          <w:szCs w:val="22"/>
          <w:lang w:val="sr-Cyrl-CS"/>
        </w:rPr>
        <w:t>м</w:t>
      </w:r>
      <w:r w:rsidR="00E65557">
        <w:rPr>
          <w:rFonts w:ascii="Times New Roman" w:hAnsi="Times New Roman" w:cs="Times New Roman"/>
          <w:bCs/>
          <w:sz w:val="22"/>
          <w:szCs w:val="22"/>
          <w:lang w:val="sr-Cyrl-CS"/>
        </w:rPr>
        <w:t>,</w:t>
      </w:r>
      <w:r w:rsidR="00E65557" w:rsidRPr="00514EC9">
        <w:rPr>
          <w:rFonts w:ascii="Times New Roman" w:hAnsi="Times New Roman" w:cs="Times New Roman"/>
          <w:bCs/>
          <w:sz w:val="22"/>
          <w:szCs w:val="22"/>
        </w:rPr>
        <w:t xml:space="preserve"> највише до </w:t>
      </w:r>
      <w:r w:rsidR="00E65557" w:rsidRPr="001877CB">
        <w:rPr>
          <w:rFonts w:ascii="Times New Roman" w:hAnsi="Times New Roman" w:cs="Times New Roman"/>
          <w:b/>
          <w:bCs/>
          <w:sz w:val="22"/>
          <w:szCs w:val="22"/>
        </w:rPr>
        <w:t>1,5%</w:t>
      </w:r>
      <w:r w:rsidR="00E65557" w:rsidRPr="00514EC9">
        <w:rPr>
          <w:rFonts w:ascii="Times New Roman" w:hAnsi="Times New Roman" w:cs="Times New Roman"/>
          <w:bCs/>
          <w:sz w:val="22"/>
          <w:szCs w:val="22"/>
        </w:rPr>
        <w:t xml:space="preserve"> у 2016. </w:t>
      </w:r>
      <w:proofErr w:type="gramStart"/>
      <w:r w:rsidR="00E65557" w:rsidRPr="00514EC9">
        <w:rPr>
          <w:rFonts w:ascii="Times New Roman" w:hAnsi="Times New Roman" w:cs="Times New Roman"/>
          <w:bCs/>
          <w:sz w:val="22"/>
          <w:szCs w:val="22"/>
        </w:rPr>
        <w:t>и</w:t>
      </w:r>
      <w:proofErr w:type="gramEnd"/>
      <w:r w:rsidR="00E65557" w:rsidRPr="00514EC9">
        <w:rPr>
          <w:rFonts w:ascii="Times New Roman" w:hAnsi="Times New Roman" w:cs="Times New Roman"/>
          <w:bCs/>
          <w:sz w:val="22"/>
          <w:szCs w:val="22"/>
        </w:rPr>
        <w:t xml:space="preserve"> 2017. </w:t>
      </w:r>
      <w:proofErr w:type="gramStart"/>
      <w:r w:rsidR="00E65557" w:rsidRPr="00514EC9">
        <w:rPr>
          <w:rFonts w:ascii="Times New Roman" w:hAnsi="Times New Roman" w:cs="Times New Roman"/>
          <w:bCs/>
          <w:sz w:val="22"/>
          <w:szCs w:val="22"/>
        </w:rPr>
        <w:t>години</w:t>
      </w:r>
      <w:proofErr w:type="gramEnd"/>
      <w:r w:rsidR="00E65557" w:rsidRPr="00514EC9">
        <w:rPr>
          <w:rFonts w:ascii="Times New Roman" w:hAnsi="Times New Roman" w:cs="Times New Roman"/>
          <w:bCs/>
          <w:sz w:val="22"/>
          <w:szCs w:val="22"/>
        </w:rPr>
        <w:t>, при</w:t>
      </w:r>
      <w:r w:rsidR="00E6555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65557" w:rsidRPr="00514EC9">
        <w:rPr>
          <w:rFonts w:ascii="Times New Roman" w:hAnsi="Times New Roman" w:cs="Times New Roman"/>
          <w:bCs/>
          <w:sz w:val="22"/>
          <w:szCs w:val="22"/>
        </w:rPr>
        <w:t>чему се ограничење односи на укупно планиране плате из буџета локалне власти, на</w:t>
      </w:r>
      <w:r w:rsidR="00E6555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65557" w:rsidRPr="00514EC9">
        <w:rPr>
          <w:rFonts w:ascii="Times New Roman" w:hAnsi="Times New Roman" w:cs="Times New Roman"/>
          <w:bCs/>
          <w:sz w:val="22"/>
          <w:szCs w:val="22"/>
        </w:rPr>
        <w:t xml:space="preserve">економским </w:t>
      </w:r>
      <w:r w:rsidR="00E65557" w:rsidRPr="00514EC9">
        <w:rPr>
          <w:rFonts w:ascii="Times New Roman" w:hAnsi="Times New Roman" w:cs="Times New Roman"/>
          <w:bCs/>
          <w:sz w:val="22"/>
          <w:szCs w:val="22"/>
        </w:rPr>
        <w:lastRenderedPageBreak/>
        <w:t>класификацијама 411 - Плате, додаци и накнаде запослених (зараде) и 412 -</w:t>
      </w:r>
      <w:r w:rsidR="00E6555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65557" w:rsidRPr="00514EC9">
        <w:rPr>
          <w:rFonts w:ascii="Times New Roman" w:hAnsi="Times New Roman" w:cs="Times New Roman"/>
          <w:bCs/>
          <w:sz w:val="22"/>
          <w:szCs w:val="22"/>
        </w:rPr>
        <w:t xml:space="preserve">Социјални доприноси на терет послодавца. </w:t>
      </w:r>
    </w:p>
    <w:p w:rsidR="00BA3572" w:rsidRPr="00BA3572" w:rsidRDefault="00BA3572" w:rsidP="00BA3572">
      <w:pPr>
        <w:pStyle w:val="Default"/>
        <w:jc w:val="both"/>
        <w:rPr>
          <w:sz w:val="23"/>
          <w:szCs w:val="23"/>
        </w:rPr>
      </w:pPr>
      <w:proofErr w:type="gramStart"/>
      <w:r w:rsidRPr="00BA3572">
        <w:rPr>
          <w:sz w:val="23"/>
          <w:szCs w:val="23"/>
        </w:rPr>
        <w:t>Као и у претходним годинама, и у буџетској 201</w:t>
      </w:r>
      <w:r>
        <w:rPr>
          <w:sz w:val="23"/>
          <w:szCs w:val="23"/>
          <w:lang w:val="sr-Cyrl-CS"/>
        </w:rPr>
        <w:t>6</w:t>
      </w:r>
      <w:r w:rsidRPr="00BA3572">
        <w:rPr>
          <w:sz w:val="23"/>
          <w:szCs w:val="23"/>
        </w:rPr>
        <w:t>.</w:t>
      </w:r>
      <w:proofErr w:type="gramEnd"/>
      <w:r w:rsidRPr="00BA3572">
        <w:rPr>
          <w:sz w:val="23"/>
          <w:szCs w:val="23"/>
        </w:rPr>
        <w:t xml:space="preserve"> </w:t>
      </w:r>
      <w:proofErr w:type="gramStart"/>
      <w:r w:rsidRPr="00BA3572">
        <w:rPr>
          <w:sz w:val="23"/>
          <w:szCs w:val="23"/>
        </w:rPr>
        <w:t>години</w:t>
      </w:r>
      <w:proofErr w:type="gramEnd"/>
      <w:r w:rsidRPr="00BA3572">
        <w:rPr>
          <w:sz w:val="23"/>
          <w:szCs w:val="23"/>
        </w:rPr>
        <w:t>, не треба планирати обрачун и исплату божићних, годишњих и других врста награда и бонуса предвиђених посебним и појединачним колективним уговорима, за директне и индиректне кориснике буџетских средстава локалне власти, осим јубиларних награда за запослене који су то право стекли у 201</w:t>
      </w:r>
      <w:r>
        <w:rPr>
          <w:sz w:val="23"/>
          <w:szCs w:val="23"/>
          <w:lang w:val="sr-Cyrl-CS"/>
        </w:rPr>
        <w:t>6</w:t>
      </w:r>
      <w:r w:rsidRPr="00BA3572">
        <w:rPr>
          <w:sz w:val="23"/>
          <w:szCs w:val="23"/>
        </w:rPr>
        <w:t xml:space="preserve">. </w:t>
      </w:r>
      <w:proofErr w:type="gramStart"/>
      <w:r w:rsidRPr="00BA3572">
        <w:rPr>
          <w:sz w:val="23"/>
          <w:szCs w:val="23"/>
        </w:rPr>
        <w:t>години</w:t>
      </w:r>
      <w:proofErr w:type="gramEnd"/>
      <w:r w:rsidRPr="00BA3572">
        <w:rPr>
          <w:sz w:val="23"/>
          <w:szCs w:val="23"/>
        </w:rPr>
        <w:t xml:space="preserve">. </w:t>
      </w:r>
    </w:p>
    <w:p w:rsidR="00BA3572" w:rsidRPr="00BA3572" w:rsidRDefault="00BA3572" w:rsidP="00BA3572">
      <w:pPr>
        <w:pStyle w:val="Default"/>
        <w:jc w:val="both"/>
        <w:rPr>
          <w:sz w:val="23"/>
          <w:szCs w:val="23"/>
        </w:rPr>
      </w:pPr>
      <w:proofErr w:type="gramStart"/>
      <w:r w:rsidRPr="00BA3572">
        <w:rPr>
          <w:sz w:val="23"/>
          <w:szCs w:val="23"/>
        </w:rPr>
        <w:t>Такође, у 201</w:t>
      </w:r>
      <w:r>
        <w:rPr>
          <w:sz w:val="23"/>
          <w:szCs w:val="23"/>
          <w:lang w:val="sr-Cyrl-CS"/>
        </w:rPr>
        <w:t>6</w:t>
      </w:r>
      <w:r w:rsidRPr="00BA3572">
        <w:rPr>
          <w:sz w:val="23"/>
          <w:szCs w:val="23"/>
        </w:rPr>
        <w:t>.</w:t>
      </w:r>
      <w:proofErr w:type="gramEnd"/>
      <w:r w:rsidRPr="00BA3572">
        <w:rPr>
          <w:sz w:val="23"/>
          <w:szCs w:val="23"/>
        </w:rPr>
        <w:t xml:space="preserve"> </w:t>
      </w:r>
      <w:proofErr w:type="gramStart"/>
      <w:r w:rsidRPr="00BA3572">
        <w:rPr>
          <w:sz w:val="23"/>
          <w:szCs w:val="23"/>
        </w:rPr>
        <w:t>години</w:t>
      </w:r>
      <w:proofErr w:type="gramEnd"/>
      <w:r w:rsidRPr="00BA3572">
        <w:rPr>
          <w:sz w:val="23"/>
          <w:szCs w:val="23"/>
        </w:rPr>
        <w:t xml:space="preserve"> не могу се исплаћивати запосленима код директних и индиректних корисника буџетских средстава локалне власти, награде и бонуси који према међународним критеријумима представљају нестандардне, односно нетранспарентне облике награда и бонуса. </w:t>
      </w:r>
    </w:p>
    <w:p w:rsidR="00BA3572" w:rsidRPr="00BA3572" w:rsidRDefault="00BA3572" w:rsidP="00BA3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  <w:r w:rsidRPr="00BA3572">
        <w:rPr>
          <w:rFonts w:ascii="Times New Roman" w:hAnsi="Times New Roman" w:cs="Times New Roman"/>
          <w:sz w:val="23"/>
          <w:szCs w:val="23"/>
        </w:rPr>
        <w:t>Остале економске класификације у оквиру групе 41 – Расходи за запослене, планирати крајње рестриктивно</w:t>
      </w:r>
    </w:p>
    <w:p w:rsidR="00E65557" w:rsidRPr="00514EC9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Напомињемо да претходну пројекцију дајемо са резервом, обзиром да су од стране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надлежних Министарстава у најави измене сета закона која се тичу плата запослених у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државним органима односно у локалној самоуправи.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Уколико дође до наведених измена,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извршиће се корекција обрачуна потребних средстава за исплату плата буџетских корисника.</w:t>
      </w:r>
      <w:proofErr w:type="gramEnd"/>
    </w:p>
    <w:p w:rsidR="00E65557" w:rsidRPr="0037398C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- За средстава која су потребна за исплату отпремнина потребно је навести планирани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број запослених (сачинити списак) који ће у току 201</w:t>
      </w:r>
      <w:r w:rsidR="00697F9F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514EC9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године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 остварити право на отпремнину и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исказати потребу у средствима за исплату отпремнине.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</w:p>
    <w:p w:rsidR="00E65557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- Износ средстава за јубиларне награде мора се прецизно и одговорно планирати код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свих буџетских корисника.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У образложењу је потребно навести списак запослених који ће у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2015.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години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 остварити право на јубиларну награду као и потребне износе. Запосленима за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које се у току године испостави да имају право на исплату јубиларне награде, а не налазе се на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списку, јубиларна награда ће након приложене одговарајуће правдајуће документације, бити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исплаћена, с тим што ће се за тај износ умањити средства на другим економским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класификацијама у финансијском плану корисника.</w:t>
      </w:r>
    </w:p>
    <w:p w:rsidR="00E65557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</w:p>
    <w:p w:rsidR="002747F6" w:rsidRDefault="002747F6" w:rsidP="002747F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</w:rPr>
        <w:t>Група конта 42 – Коришћење услуга и роба</w:t>
      </w:r>
    </w:p>
    <w:p w:rsidR="002747F6" w:rsidRPr="002747F6" w:rsidRDefault="002747F6" w:rsidP="00274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2"/>
          <w:szCs w:val="22"/>
          <w:lang w:val="sr-Cyrl-CS"/>
        </w:rPr>
      </w:pPr>
    </w:p>
    <w:p w:rsidR="00E65557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4EC9">
        <w:rPr>
          <w:rFonts w:ascii="Times New Roman" w:hAnsi="Times New Roman" w:cs="Times New Roman"/>
          <w:bCs/>
          <w:sz w:val="22"/>
          <w:szCs w:val="22"/>
        </w:rPr>
        <w:t>- У оквиру групе конта 42 треба сагледати могућност уштеде, пре свега у оквиру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економских класификација 422-Трошкови путовања, 423-Услуге по уговору и 424-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Специјализоване услуге, а настојати да се не угрози извршавање сталних трошкова (421-Стални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трошкови).</w:t>
      </w:r>
    </w:p>
    <w:p w:rsidR="00E65557" w:rsidRPr="00514EC9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E65557" w:rsidRPr="00514EC9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- Средства за сталне трошкове (економска класификација 421) планирати на основу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>деве</w:t>
      </w:r>
      <w:r w:rsidRPr="00514EC9">
        <w:rPr>
          <w:rFonts w:ascii="Times New Roman" w:hAnsi="Times New Roman" w:cs="Times New Roman"/>
          <w:bCs/>
          <w:sz w:val="22"/>
          <w:szCs w:val="22"/>
        </w:rPr>
        <w:t>томесечног извршења у 201</w:t>
      </w:r>
      <w:r w:rsidR="002747F6">
        <w:rPr>
          <w:rFonts w:ascii="Times New Roman" w:hAnsi="Times New Roman" w:cs="Times New Roman"/>
          <w:bCs/>
          <w:sz w:val="22"/>
          <w:szCs w:val="22"/>
          <w:lang w:val="sr-Cyrl-CS"/>
        </w:rPr>
        <w:t>5</w:t>
      </w:r>
      <w:r w:rsidRPr="00514EC9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години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 и очекиваног нивоа извршења ових расхода до краја</w:t>
      </w:r>
    </w:p>
    <w:p w:rsidR="00E65557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године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>, увећано за пројектовану инфлацију за 201</w:t>
      </w:r>
      <w:r w:rsidR="002747F6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514EC9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годину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:rsidR="00E65557" w:rsidRPr="00514EC9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E65557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- Угоститељске услуге и трошкове репрезентације, као чисте дискреционе расходе,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планирати уз максималну штедњу и одговорност према пореским обвезницима који издвајају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 xml:space="preserve">значајна средства из својих кућних буџета за функционисање органа 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>Општине</w:t>
      </w:r>
      <w:r w:rsidRPr="00514EC9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</w:p>
    <w:p w:rsidR="00E65557" w:rsidRPr="003D6F5C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</w:p>
    <w:p w:rsidR="00E65557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- Средства за текуће одржавање опреме и објеката (425-Текуће поправке и одржавање)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планирају се по приоритетима.</w:t>
      </w:r>
      <w:proofErr w:type="gramEnd"/>
    </w:p>
    <w:p w:rsidR="00E65557" w:rsidRPr="003D6F5C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</w:p>
    <w:p w:rsidR="00E65557" w:rsidRPr="00514EC9" w:rsidRDefault="00E65557" w:rsidP="0027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- Износ субвенција у 201</w:t>
      </w:r>
      <w:r w:rsidR="002747F6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514EC9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години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 треба планирати у складу са политиком расхода за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201</w:t>
      </w:r>
      <w:r w:rsidR="002747F6">
        <w:rPr>
          <w:rFonts w:ascii="Times New Roman" w:hAnsi="Times New Roman" w:cs="Times New Roman"/>
          <w:bCs/>
          <w:sz w:val="22"/>
          <w:szCs w:val="22"/>
          <w:lang w:val="sr-Cyrl-CS"/>
        </w:rPr>
        <w:t>5</w:t>
      </w:r>
      <w:r w:rsidRPr="00514EC9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годину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>, којом је предвиђено смањивање расхода за субвенције на свим нивоима власти.</w:t>
      </w:r>
    </w:p>
    <w:p w:rsidR="00E65557" w:rsidRPr="00514EC9" w:rsidRDefault="00E65557" w:rsidP="0027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4EC9">
        <w:rPr>
          <w:rFonts w:ascii="Times New Roman" w:hAnsi="Times New Roman" w:cs="Times New Roman"/>
          <w:bCs/>
          <w:sz w:val="22"/>
          <w:szCs w:val="22"/>
        </w:rPr>
        <w:t xml:space="preserve">Потребно је да </w:t>
      </w: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се 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расходи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 за субвенције у 201</w:t>
      </w:r>
      <w:r w:rsidR="002702E5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514EC9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години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 на нивоу јединица локалне самоуправе</w:t>
      </w:r>
    </w:p>
    <w:p w:rsidR="00E65557" w:rsidRPr="00514EC9" w:rsidRDefault="00E65557" w:rsidP="0027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планирају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 у минималном износу, највише до износа који је опредељен буџетом за текућу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годину, односно планирати трошкове који се односе само на финансирање текућих трошкова</w:t>
      </w:r>
      <w:r w:rsidR="002702E5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 xml:space="preserve">предузећа за </w:t>
      </w:r>
      <w:r w:rsidRPr="00514EC9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2015. </w:t>
      </w: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годину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 на основу образложеног писменог захтева предузећа о финансијској</w:t>
      </w:r>
      <w:r w:rsidR="002702E5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 xml:space="preserve">немогућности измирења обавеза за које се потражују средства из буџета 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>Општине</w:t>
      </w:r>
      <w:r w:rsidRPr="00514EC9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:rsidR="00E65557" w:rsidRDefault="002702E5" w:rsidP="00270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2"/>
          <w:szCs w:val="22"/>
          <w:lang w:val="sr-Cyrl-CS"/>
        </w:rPr>
      </w:pPr>
      <w:r>
        <w:rPr>
          <w:b/>
          <w:bCs/>
          <w:sz w:val="23"/>
          <w:szCs w:val="23"/>
        </w:rPr>
        <w:t>Група конта 48 – Остали расходи</w:t>
      </w:r>
    </w:p>
    <w:p w:rsidR="00E65557" w:rsidRPr="00514EC9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- Остали расходи (група конта 48) планирају се највише до износа који је опредељен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буџетом за 201</w:t>
      </w:r>
      <w:r w:rsidR="002702E5">
        <w:rPr>
          <w:rFonts w:ascii="Times New Roman" w:hAnsi="Times New Roman" w:cs="Times New Roman"/>
          <w:bCs/>
          <w:sz w:val="22"/>
          <w:szCs w:val="22"/>
          <w:lang w:val="sr-Cyrl-CS"/>
        </w:rPr>
        <w:t>5</w:t>
      </w:r>
      <w:r w:rsidRPr="00514EC9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годину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>.</w:t>
      </w:r>
    </w:p>
    <w:p w:rsidR="00E65557" w:rsidRPr="00514EC9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37398C">
        <w:rPr>
          <w:rFonts w:ascii="Times New Roman" w:hAnsi="Times New Roman" w:cs="Times New Roman"/>
          <w:bCs/>
          <w:sz w:val="22"/>
          <w:szCs w:val="22"/>
        </w:rPr>
        <w:t>Средства планирана на економској класификацији 481 - Дотације невладиним</w:t>
      </w:r>
      <w:r w:rsidRPr="0037398C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37398C">
        <w:rPr>
          <w:rFonts w:ascii="Times New Roman" w:hAnsi="Times New Roman" w:cs="Times New Roman"/>
          <w:bCs/>
          <w:sz w:val="22"/>
          <w:szCs w:val="22"/>
        </w:rPr>
        <w:t>организацијама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>.</w:t>
      </w:r>
      <w:proofErr w:type="gramEnd"/>
      <w:r w:rsidRPr="0037398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7398C">
        <w:rPr>
          <w:rFonts w:ascii="Times New Roman" w:hAnsi="Times New Roman" w:cs="Times New Roman"/>
          <w:bCs/>
          <w:sz w:val="22"/>
          <w:szCs w:val="22"/>
          <w:lang w:val="sr-Cyrl-CS"/>
        </w:rPr>
        <w:t>П</w:t>
      </w:r>
      <w:r w:rsidRPr="0037398C">
        <w:rPr>
          <w:rFonts w:ascii="Times New Roman" w:hAnsi="Times New Roman" w:cs="Times New Roman"/>
          <w:bCs/>
          <w:sz w:val="22"/>
          <w:szCs w:val="22"/>
        </w:rPr>
        <w:t>отребно је да се посебно, на аналитичан и детаљан начин искажу расходи</w:t>
      </w:r>
      <w:r w:rsidRPr="0037398C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37398C">
        <w:rPr>
          <w:rFonts w:ascii="Times New Roman" w:hAnsi="Times New Roman" w:cs="Times New Roman"/>
          <w:bCs/>
          <w:sz w:val="22"/>
          <w:szCs w:val="22"/>
        </w:rPr>
        <w:t>путем дотација, односно средства која се планирају у наредној години морају бити</w:t>
      </w:r>
      <w:r w:rsidRPr="0037398C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37398C">
        <w:rPr>
          <w:rFonts w:ascii="Times New Roman" w:hAnsi="Times New Roman" w:cs="Times New Roman"/>
          <w:bCs/>
          <w:sz w:val="22"/>
          <w:szCs w:val="22"/>
        </w:rPr>
        <w:t>распоређена по областима усклађеним са програмском структуром.</w:t>
      </w:r>
    </w:p>
    <w:p w:rsidR="00E65557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  <w:r w:rsidRPr="00514EC9">
        <w:rPr>
          <w:rFonts w:ascii="Times New Roman" w:hAnsi="Times New Roman" w:cs="Times New Roman"/>
          <w:bCs/>
          <w:sz w:val="22"/>
          <w:szCs w:val="22"/>
        </w:rPr>
        <w:t>У циљу транспарентнијег приказивања средстава намењених за финансирање редовног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рада политичких субјеката, у складу са Законом о финансирању политичких активности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(„Службени гласник РС", број 43/11), потребно је, у опису апропријације економске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класификације 481 -Дотације невладиним организацијама, посебно исказати средства за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наведену намену.</w:t>
      </w:r>
    </w:p>
    <w:p w:rsidR="00E65557" w:rsidRPr="00A02D90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  <w:r>
        <w:rPr>
          <w:rFonts w:ascii="Times New Roman" w:hAnsi="Times New Roman" w:cs="Times New Roman"/>
          <w:bCs/>
          <w:sz w:val="22"/>
          <w:szCs w:val="22"/>
          <w:lang w:val="sr-Cyrl-CS"/>
        </w:rPr>
        <w:t>У циљу благовременог сагледавања висине и динамике измиривања обавеза по судским процесима који у у току, неопходно је да корисиници буџета доставе детаљан преглед свих судских спорова са што тачније утврђеним износом вредности спора у очекиваном моменту наплате као и што тачније предвиђеним  моментом наплате.</w:t>
      </w:r>
    </w:p>
    <w:p w:rsidR="00E65557" w:rsidRPr="002A03EC" w:rsidRDefault="00FF3D7A" w:rsidP="00FF3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2"/>
          <w:szCs w:val="22"/>
          <w:lang w:val="sr-Cyrl-CS"/>
        </w:rPr>
      </w:pPr>
      <w:r>
        <w:rPr>
          <w:b/>
          <w:bCs/>
          <w:sz w:val="23"/>
          <w:szCs w:val="23"/>
        </w:rPr>
        <w:t>Класа 5 - Издаци за нефинансијску имовину</w:t>
      </w:r>
    </w:p>
    <w:p w:rsidR="00E65557" w:rsidRPr="00514EC9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- Набавку административне опреме и других основних средстава (економска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класификација 512) за редован рад који се не сматрају капиталним инвестицијама у смислу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вишегодишњих пројеката, потребно је планирати уз максималне уштеде само за набавку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неопходних средстава за рад.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Неће се извршити плаћање из буџета 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>Општине</w:t>
      </w:r>
      <w:r w:rsidRPr="00514EC9">
        <w:rPr>
          <w:rFonts w:ascii="Times New Roman" w:hAnsi="Times New Roman" w:cs="Times New Roman"/>
          <w:bCs/>
          <w:sz w:val="22"/>
          <w:szCs w:val="22"/>
        </w:rPr>
        <w:t xml:space="preserve"> за набавку опреме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која није планирана финансијским планом на почетку године и није прецизно наведена у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образложењу.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 Приликом планирања потребно је информисати се о свим алтернативним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изворима финансирања као што су: сопствени приходи, конкурси и фондови међународних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организација, републичких органа и других донатора.</w:t>
      </w:r>
    </w:p>
    <w:p w:rsidR="00E65557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  <w:r w:rsidRPr="00514EC9">
        <w:rPr>
          <w:rFonts w:ascii="Times New Roman" w:hAnsi="Times New Roman" w:cs="Times New Roman"/>
          <w:bCs/>
          <w:sz w:val="22"/>
          <w:szCs w:val="22"/>
        </w:rPr>
        <w:t>Важно је да корисници не исказују као капиталне издатке текуће поправке и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одржавање зграда, објеката и опреме, већ да расходе за те намене (за молерске, зидарске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радове, поправке електронске и електричне опреме итд.) планирају на економској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класификацији 425 -Текуће поправке и одржавање, а само ако се ради о капиталном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инвестиционом одржавању, средства треба планирати на контима групе 51, 52 и 54.</w:t>
      </w:r>
    </w:p>
    <w:p w:rsidR="00E65557" w:rsidRPr="004F37E9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</w:p>
    <w:p w:rsidR="00E65557" w:rsidRPr="00514EC9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- На контима групе 51, 52 и 54 планирају се средства за капиталне пројекте.</w:t>
      </w:r>
      <w:proofErr w:type="gramEnd"/>
    </w:p>
    <w:p w:rsidR="00E65557" w:rsidRPr="00514EC9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У складу са чланом 54.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Закона о буџетском систему, буџетски корисници могу преузети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обавезе по уговору који се односи на капиталне издатке и захтева плаћање у више година који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се односи на капиталне издатке на основу предлога органа надлежног за послове финансија, уз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сагласност надлежног извршног органа локалне власти.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Даље, корисници могу преузети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обавезе по уговору само за капиталне пројекте у складу са предвиђеним средствима из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прегледа планираних капиталних издатака буџетских корисника за текућу и наредне две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буџетске године у општем делу буџета за текућу годину, укључујући и потребна средства до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завршетка капиталних пројеката, односно након три фискалне године.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Корисници су обавезни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да, пре покретања поступка јавне набавке за преузимање обавеза по уговору за капиталне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пројекте, прибаве сагласност надлежног органа.</w:t>
      </w:r>
      <w:proofErr w:type="gramEnd"/>
    </w:p>
    <w:p w:rsidR="00E65557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Сходно наведеном, буџетски корисници који планирају реализацију капиталних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пројеката морају доставити списак капиталних пројеката са процењеном вредношћу на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прописаним обрасцима-Преглед капиталних пројеката за период 201</w:t>
      </w:r>
      <w:r w:rsidR="008A7929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514EC9">
        <w:rPr>
          <w:rFonts w:ascii="Times New Roman" w:hAnsi="Times New Roman" w:cs="Times New Roman"/>
          <w:bCs/>
          <w:sz w:val="22"/>
          <w:szCs w:val="22"/>
        </w:rPr>
        <w:t>-201</w:t>
      </w:r>
      <w:r w:rsidR="008A7929">
        <w:rPr>
          <w:rFonts w:ascii="Times New Roman" w:hAnsi="Times New Roman" w:cs="Times New Roman"/>
          <w:bCs/>
          <w:sz w:val="22"/>
          <w:szCs w:val="22"/>
          <w:lang w:val="sr-Cyrl-CS"/>
        </w:rPr>
        <w:t>8</w:t>
      </w:r>
      <w:r w:rsidRPr="00514EC9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године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>, како би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 xml:space="preserve">након разматрања, били уврштени у План капиталних инвестиција. 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</w:p>
    <w:p w:rsidR="00E65557" w:rsidRPr="00514EC9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Капитални пројекти су пројекти чија реализација (извођење) траје дуже од годину дана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и чији је век трајања, односно коришћења дужи од пет годинa.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Капитални пројекти укључују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вишегодишње финансирање и релативно велике издатке у садашњости, за које се очекује да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ће генерисати корист односно добит у годинама након реализације.</w:t>
      </w:r>
      <w:proofErr w:type="gramEnd"/>
    </w:p>
    <w:p w:rsidR="00E65557" w:rsidRPr="00514EC9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4EC9">
        <w:rPr>
          <w:rFonts w:ascii="Times New Roman" w:hAnsi="Times New Roman" w:cs="Times New Roman"/>
          <w:bCs/>
          <w:sz w:val="22"/>
          <w:szCs w:val="22"/>
        </w:rPr>
        <w:lastRenderedPageBreak/>
        <w:t>На основу свеобухватне процене потреба, потребно је рангирати капиталне пројекте по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приоритетима, у складу са усвојеним стратешким документима, водећи рачуна да приоритет у</w:t>
      </w:r>
    </w:p>
    <w:p w:rsidR="00E65557" w:rsidRPr="00514EC9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финансирању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 имају већ започети пројекти, чија је даља реализација оправдана.</w:t>
      </w:r>
    </w:p>
    <w:p w:rsidR="00E65557" w:rsidRPr="00514EC9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4EC9">
        <w:rPr>
          <w:rFonts w:ascii="Times New Roman" w:hAnsi="Times New Roman" w:cs="Times New Roman"/>
          <w:bCs/>
          <w:sz w:val="22"/>
          <w:szCs w:val="22"/>
        </w:rPr>
        <w:t>Капитални пројекти се односе на:</w:t>
      </w:r>
    </w:p>
    <w:p w:rsidR="00E65557" w:rsidRPr="00514EC9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4EC9">
        <w:rPr>
          <w:rFonts w:ascii="Times New Roman" w:hAnsi="Times New Roman" w:cs="Times New Roman"/>
          <w:bCs/>
          <w:sz w:val="22"/>
          <w:szCs w:val="22"/>
        </w:rPr>
        <w:t xml:space="preserve">1. </w:t>
      </w: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изградњу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 (куповину) зграда и грађевинских објеката и објеката инфраструктуре од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интереса за локалну самоуправу;</w:t>
      </w:r>
    </w:p>
    <w:p w:rsidR="00E65557" w:rsidRPr="007419F9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  <w:r w:rsidRPr="00514EC9">
        <w:rPr>
          <w:rFonts w:ascii="Times New Roman" w:hAnsi="Times New Roman" w:cs="Times New Roman"/>
          <w:bCs/>
          <w:sz w:val="22"/>
          <w:szCs w:val="22"/>
        </w:rPr>
        <w:t xml:space="preserve">2. </w:t>
      </w: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унапређење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 односно капитално одржавање постојећих зграда и грађевинских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објеката и објеката инфраструктуре од интереса за локалну самоуправу;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</w:p>
    <w:p w:rsidR="00E65557" w:rsidRPr="00514EC9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4EC9">
        <w:rPr>
          <w:rFonts w:ascii="Times New Roman" w:hAnsi="Times New Roman" w:cs="Times New Roman"/>
          <w:bCs/>
          <w:sz w:val="22"/>
          <w:szCs w:val="22"/>
        </w:rPr>
        <w:t xml:space="preserve">3. </w:t>
      </w: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обезбеђивање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 земљишта;</w:t>
      </w:r>
    </w:p>
    <w:p w:rsidR="00E65557" w:rsidRPr="00514EC9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4EC9">
        <w:rPr>
          <w:rFonts w:ascii="Times New Roman" w:hAnsi="Times New Roman" w:cs="Times New Roman"/>
          <w:bCs/>
          <w:sz w:val="22"/>
          <w:szCs w:val="22"/>
        </w:rPr>
        <w:t xml:space="preserve">4. </w:t>
      </w: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пројектно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 планирање;</w:t>
      </w:r>
    </w:p>
    <w:p w:rsidR="00E65557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  <w:r w:rsidRPr="00514EC9">
        <w:rPr>
          <w:rFonts w:ascii="Times New Roman" w:hAnsi="Times New Roman" w:cs="Times New Roman"/>
          <w:bCs/>
          <w:sz w:val="22"/>
          <w:szCs w:val="22"/>
        </w:rPr>
        <w:t xml:space="preserve">5. </w:t>
      </w: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набавку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 опреме и машина чији је век трајања односно коришћења дужи од пет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година.</w:t>
      </w:r>
    </w:p>
    <w:p w:rsidR="00E65557" w:rsidRPr="007419F9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</w:p>
    <w:p w:rsidR="00E65557" w:rsidRPr="00514EC9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Расходи који се финансирају из сопствених и осталих извора корисника, морају бити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у висини реално процењеног остварења ових прихода у 201</w:t>
      </w:r>
      <w:r w:rsidR="007D3EED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514EC9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и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 наредне две године, односно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мора постојати равнотежа између планираних прихода и планираних расхода. За кориснике је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исказивање расхода који се финансирају из других извора који нису буџетски (сопствени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приходи, приходи од донација, средства од Министарстава и др.) посебно важно</w:t>
      </w:r>
      <w:r w:rsidRPr="00F308E1">
        <w:rPr>
          <w:rFonts w:ascii="Times New Roman" w:hAnsi="Times New Roman" w:cs="Times New Roman"/>
          <w:bCs/>
          <w:sz w:val="22"/>
          <w:szCs w:val="22"/>
        </w:rPr>
        <w:t>, обзиром да</w:t>
      </w:r>
      <w:r w:rsidRPr="00F308E1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F308E1">
        <w:rPr>
          <w:rFonts w:ascii="Times New Roman" w:hAnsi="Times New Roman" w:cs="Times New Roman"/>
          <w:bCs/>
          <w:sz w:val="22"/>
          <w:szCs w:val="22"/>
        </w:rPr>
        <w:t>су у складу са Законом о буџетском систему, предвиђене посебне апропријације у Одлуци о</w:t>
      </w:r>
      <w:r w:rsidRPr="00F308E1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F308E1">
        <w:rPr>
          <w:rFonts w:ascii="Times New Roman" w:hAnsi="Times New Roman" w:cs="Times New Roman"/>
          <w:bCs/>
          <w:sz w:val="22"/>
          <w:szCs w:val="22"/>
        </w:rPr>
        <w:t>буџету из наведених прихода.</w:t>
      </w:r>
      <w:r w:rsidRPr="00514EC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Услов за коришћење остварених сопствених прихода за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одређену намену је да је расход планиран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у буџету.</w:t>
      </w:r>
      <w:proofErr w:type="gramEnd"/>
    </w:p>
    <w:p w:rsidR="00E65557" w:rsidRPr="00514EC9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Посебно наглашавамо да се може десити да дође до измена одређених прописа,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који би изазвали промене у пројекцији буџета за наредну годину, што може да има за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резултат и измене у предложеном обиму средстава.</w:t>
      </w:r>
      <w:proofErr w:type="gramEnd"/>
      <w:r w:rsidRPr="00514EC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514EC9">
        <w:rPr>
          <w:rFonts w:ascii="Times New Roman" w:hAnsi="Times New Roman" w:cs="Times New Roman"/>
          <w:bCs/>
          <w:sz w:val="22"/>
          <w:szCs w:val="22"/>
        </w:rPr>
        <w:t>О томе ће буџетски корисници бити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благовремено обавештени, док ће се неопходна усклађивања вршити у оквиру буџетске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4EC9">
        <w:rPr>
          <w:rFonts w:ascii="Times New Roman" w:hAnsi="Times New Roman" w:cs="Times New Roman"/>
          <w:bCs/>
          <w:sz w:val="22"/>
          <w:szCs w:val="22"/>
        </w:rPr>
        <w:t>процедуре у сарадњи са корисницима на које ће наведене измене имати ефекта.</w:t>
      </w:r>
      <w:proofErr w:type="gramEnd"/>
    </w:p>
    <w:p w:rsidR="00E65557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НАПОМЕНА: </w:t>
      </w:r>
    </w:p>
    <w:p w:rsidR="00E65557" w:rsidRPr="004C0CFF" w:rsidRDefault="00E65557" w:rsidP="007D3EED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9A18F0">
        <w:rPr>
          <w:rFonts w:ascii="Times New Roman" w:eastAsia="Times New Roman" w:hAnsi="Times New Roman" w:cs="Times New Roman"/>
          <w:b/>
          <w:sz w:val="22"/>
          <w:szCs w:val="22"/>
        </w:rPr>
        <w:t xml:space="preserve">Јавно предузеће које користи или намерава да користи било који облик буџетске помоћи (субвенције, гаранције или другу врсту помоћи) дужно је да предложи </w:t>
      </w:r>
      <w:r w:rsidRPr="009A18F0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посебан програм који садржи програм коришћења помоћи, са временски ограниченом и мерљивом динамиком повећања ефикасности и унутрашњих промена које ће довести јавно предузеће у позицију да може да послује без ових облика помоћи или уз њихово смањење.</w:t>
      </w:r>
      <w:r w:rsidRPr="006C5273">
        <w:rPr>
          <w:rFonts w:ascii="Times New Roman" w:eastAsia="Times New Roman" w:hAnsi="Times New Roman" w:cs="Times New Roman"/>
          <w:b/>
          <w:sz w:val="22"/>
          <w:szCs w:val="22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sr-Cyrl-CS"/>
        </w:rPr>
        <w:t>(Закон о јавним предузећима „Службени Гласник РС“, број 119/2012 и 116/2013).</w:t>
      </w:r>
    </w:p>
    <w:p w:rsidR="00E65557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E65557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E65557" w:rsidRPr="00CB59E8" w:rsidRDefault="00E65557" w:rsidP="00E65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  <w:r w:rsidRPr="00CB59E8">
        <w:rPr>
          <w:rFonts w:ascii="Times New Roman" w:hAnsi="Times New Roman" w:cs="Times New Roman"/>
          <w:b/>
          <w:bCs/>
          <w:sz w:val="22"/>
          <w:szCs w:val="22"/>
        </w:rPr>
        <w:t>САДРЖАЈ ЗАХТЕВА БУЏЕТСКОГ КОРИСНИКА</w:t>
      </w:r>
    </w:p>
    <w:p w:rsidR="00E65557" w:rsidRPr="00CB59E8" w:rsidRDefault="00E65557" w:rsidP="00E65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E65557" w:rsidRPr="00CB59E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CB59E8">
        <w:rPr>
          <w:rFonts w:ascii="Times New Roman" w:hAnsi="Times New Roman" w:cs="Times New Roman"/>
          <w:bCs/>
          <w:sz w:val="22"/>
          <w:szCs w:val="22"/>
        </w:rPr>
        <w:t>На основу Упутства за припрему буџета, корисници буџетских средстава израђују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предлог средњорочног и годишњег финансијског плана.</w:t>
      </w:r>
      <w:proofErr w:type="gramEnd"/>
    </w:p>
    <w:p w:rsidR="00E65557" w:rsidRPr="00CB59E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CB59E8">
        <w:rPr>
          <w:rFonts w:ascii="Times New Roman" w:hAnsi="Times New Roman" w:cs="Times New Roman"/>
          <w:bCs/>
          <w:sz w:val="22"/>
          <w:szCs w:val="22"/>
        </w:rPr>
        <w:t>Предлог финансијског плана корисника буџетских средстава за 201</w:t>
      </w:r>
      <w:r w:rsidR="00556AC2"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CB59E8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CB59E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CB59E8">
        <w:rPr>
          <w:rFonts w:ascii="Times New Roman" w:hAnsi="Times New Roman" w:cs="Times New Roman"/>
          <w:bCs/>
          <w:sz w:val="22"/>
          <w:szCs w:val="22"/>
        </w:rPr>
        <w:t>и</w:t>
      </w:r>
      <w:proofErr w:type="gramEnd"/>
      <w:r w:rsidRPr="00CB59E8">
        <w:rPr>
          <w:rFonts w:ascii="Times New Roman" w:hAnsi="Times New Roman" w:cs="Times New Roman"/>
          <w:bCs/>
          <w:sz w:val="22"/>
          <w:szCs w:val="22"/>
        </w:rPr>
        <w:t xml:space="preserve"> наредне две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године, треба да се састоји од :</w:t>
      </w:r>
    </w:p>
    <w:p w:rsidR="00E65557" w:rsidRPr="00CB59E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B59E8">
        <w:rPr>
          <w:rFonts w:ascii="Times New Roman" w:hAnsi="Times New Roman" w:cs="Times New Roman"/>
          <w:bCs/>
          <w:sz w:val="22"/>
          <w:szCs w:val="22"/>
        </w:rPr>
        <w:t xml:space="preserve">– </w:t>
      </w:r>
      <w:proofErr w:type="gramStart"/>
      <w:r w:rsidRPr="00CB59E8">
        <w:rPr>
          <w:rFonts w:ascii="Times New Roman" w:hAnsi="Times New Roman" w:cs="Times New Roman"/>
          <w:b/>
          <w:bCs/>
          <w:sz w:val="22"/>
          <w:szCs w:val="22"/>
        </w:rPr>
        <w:t>захтева</w:t>
      </w:r>
      <w:proofErr w:type="gramEnd"/>
      <w:r w:rsidRPr="00CB59E8">
        <w:rPr>
          <w:rFonts w:ascii="Times New Roman" w:hAnsi="Times New Roman" w:cs="Times New Roman"/>
          <w:b/>
          <w:bCs/>
          <w:sz w:val="22"/>
          <w:szCs w:val="22"/>
        </w:rPr>
        <w:t xml:space="preserve"> за текуће издатке, односно расхода и издатaка за трогодишњи период</w:t>
      </w:r>
      <w:r w:rsidRPr="00CB59E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/>
          <w:bCs/>
          <w:sz w:val="22"/>
          <w:szCs w:val="22"/>
        </w:rPr>
        <w:t>исказане по буџетској класификацији, као и по програмској класификацији са подацима о</w:t>
      </w:r>
      <w:r w:rsidRPr="00CB59E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/>
          <w:bCs/>
          <w:sz w:val="22"/>
          <w:szCs w:val="22"/>
        </w:rPr>
        <w:t>постојећим активностима и услугама буџетског корисника (Прилог: Табела 1),</w:t>
      </w:r>
    </w:p>
    <w:p w:rsidR="00E65557" w:rsidRPr="00CB59E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B59E8">
        <w:rPr>
          <w:rFonts w:ascii="Times New Roman" w:hAnsi="Times New Roman" w:cs="Times New Roman"/>
          <w:b/>
          <w:bCs/>
          <w:sz w:val="22"/>
          <w:szCs w:val="22"/>
        </w:rPr>
        <w:t xml:space="preserve">– </w:t>
      </w:r>
      <w:proofErr w:type="gramStart"/>
      <w:r w:rsidRPr="00CB59E8">
        <w:rPr>
          <w:rFonts w:ascii="Times New Roman" w:hAnsi="Times New Roman" w:cs="Times New Roman"/>
          <w:b/>
          <w:bCs/>
          <w:sz w:val="22"/>
          <w:szCs w:val="22"/>
        </w:rPr>
        <w:t>захтева</w:t>
      </w:r>
      <w:proofErr w:type="gramEnd"/>
      <w:r w:rsidRPr="00CB59E8">
        <w:rPr>
          <w:rFonts w:ascii="Times New Roman" w:hAnsi="Times New Roman" w:cs="Times New Roman"/>
          <w:b/>
          <w:bCs/>
          <w:sz w:val="22"/>
          <w:szCs w:val="22"/>
        </w:rPr>
        <w:t xml:space="preserve"> за основна средства, (Прилог: Табела 2),</w:t>
      </w:r>
    </w:p>
    <w:p w:rsidR="00E65557" w:rsidRPr="00CB59E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B59E8">
        <w:rPr>
          <w:rFonts w:ascii="Times New Roman" w:hAnsi="Times New Roman" w:cs="Times New Roman"/>
          <w:b/>
          <w:bCs/>
          <w:sz w:val="22"/>
          <w:szCs w:val="22"/>
        </w:rPr>
        <w:t xml:space="preserve">– </w:t>
      </w:r>
      <w:proofErr w:type="gramStart"/>
      <w:r w:rsidRPr="00CB59E8">
        <w:rPr>
          <w:rFonts w:ascii="Times New Roman" w:hAnsi="Times New Roman" w:cs="Times New Roman"/>
          <w:b/>
          <w:bCs/>
          <w:sz w:val="22"/>
          <w:szCs w:val="22"/>
        </w:rPr>
        <w:t>захтева</w:t>
      </w:r>
      <w:proofErr w:type="gramEnd"/>
      <w:r w:rsidRPr="00CB59E8">
        <w:rPr>
          <w:rFonts w:ascii="Times New Roman" w:hAnsi="Times New Roman" w:cs="Times New Roman"/>
          <w:b/>
          <w:bCs/>
          <w:sz w:val="22"/>
          <w:szCs w:val="22"/>
        </w:rPr>
        <w:t xml:space="preserve"> за додатна средства за буџетске издатке чије финансирање не може да</w:t>
      </w:r>
      <w:r w:rsidRPr="00CB59E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/>
          <w:bCs/>
          <w:sz w:val="22"/>
          <w:szCs w:val="22"/>
        </w:rPr>
        <w:t>се усклади са ограничењима садржаним у инструкцијама из овог Упутства, као и са</w:t>
      </w:r>
      <w:r w:rsidRPr="00CB59E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/>
          <w:bCs/>
          <w:sz w:val="22"/>
          <w:szCs w:val="22"/>
        </w:rPr>
        <w:t>предлогом приоритета који треба да буду размотрени у поступку доношења буџета за</w:t>
      </w:r>
      <w:r w:rsidRPr="00CB59E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/>
          <w:bCs/>
          <w:sz w:val="22"/>
          <w:szCs w:val="22"/>
        </w:rPr>
        <w:t>наредну фискалну годину (Прилог: Табела 3),</w:t>
      </w:r>
    </w:p>
    <w:p w:rsidR="00E65557" w:rsidRPr="00CB59E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B59E8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– </w:t>
      </w:r>
      <w:proofErr w:type="gramStart"/>
      <w:r w:rsidRPr="00CB59E8">
        <w:rPr>
          <w:rFonts w:ascii="Times New Roman" w:hAnsi="Times New Roman" w:cs="Times New Roman"/>
          <w:bCs/>
          <w:sz w:val="22"/>
          <w:szCs w:val="22"/>
        </w:rPr>
        <w:t>детаљно</w:t>
      </w:r>
      <w:proofErr w:type="gramEnd"/>
      <w:r w:rsidRPr="00CB59E8">
        <w:rPr>
          <w:rFonts w:ascii="Times New Roman" w:hAnsi="Times New Roman" w:cs="Times New Roman"/>
          <w:bCs/>
          <w:sz w:val="22"/>
          <w:szCs w:val="22"/>
        </w:rPr>
        <w:t xml:space="preserve"> писаног образложења расхода и издатака, као и извора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финансирања,</w:t>
      </w:r>
    </w:p>
    <w:p w:rsidR="00E65557" w:rsidRPr="00CB59E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  <w:r w:rsidRPr="00CB59E8">
        <w:rPr>
          <w:rFonts w:ascii="Times New Roman" w:hAnsi="Times New Roman" w:cs="Times New Roman"/>
          <w:b/>
          <w:bCs/>
          <w:sz w:val="22"/>
          <w:szCs w:val="22"/>
        </w:rPr>
        <w:t xml:space="preserve">– </w:t>
      </w:r>
      <w:proofErr w:type="gramStart"/>
      <w:r w:rsidRPr="00CB59E8">
        <w:rPr>
          <w:rFonts w:ascii="Times New Roman" w:hAnsi="Times New Roman" w:cs="Times New Roman"/>
          <w:b/>
          <w:bCs/>
          <w:sz w:val="22"/>
          <w:szCs w:val="22"/>
        </w:rPr>
        <w:t>детаљно</w:t>
      </w:r>
      <w:proofErr w:type="gramEnd"/>
      <w:r w:rsidRPr="00CB59E8">
        <w:rPr>
          <w:rFonts w:ascii="Times New Roman" w:hAnsi="Times New Roman" w:cs="Times New Roman"/>
          <w:b/>
          <w:bCs/>
          <w:sz w:val="22"/>
          <w:szCs w:val="22"/>
        </w:rPr>
        <w:t xml:space="preserve"> писаних, попуњених и образложених </w:t>
      </w:r>
      <w:r w:rsidRPr="00CB59E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образаца</w:t>
      </w:r>
      <w:r w:rsidRPr="00CB59E8">
        <w:rPr>
          <w:rFonts w:ascii="Times New Roman" w:hAnsi="Times New Roman" w:cs="Times New Roman"/>
          <w:b/>
          <w:bCs/>
          <w:sz w:val="22"/>
          <w:szCs w:val="22"/>
        </w:rPr>
        <w:t xml:space="preserve"> за финансирање</w:t>
      </w:r>
      <w:r w:rsidRPr="00CB59E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/>
          <w:bCs/>
          <w:sz w:val="22"/>
          <w:szCs w:val="22"/>
        </w:rPr>
        <w:t xml:space="preserve">програма, програмских активности и пројеката по програмском моделу буџета, (Табела </w:t>
      </w:r>
      <w:r w:rsidR="00B64674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4</w:t>
      </w:r>
      <w:r w:rsidRPr="00CB59E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B64674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4</w:t>
      </w:r>
      <w:r w:rsidRPr="00CB59E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а и </w:t>
      </w:r>
      <w:r w:rsidR="00B64674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4</w:t>
      </w:r>
      <w:r w:rsidRPr="00CB59E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б)</w:t>
      </w:r>
    </w:p>
    <w:p w:rsidR="00E65557" w:rsidRPr="00CB59E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B59E8">
        <w:rPr>
          <w:rFonts w:ascii="Times New Roman" w:hAnsi="Times New Roman" w:cs="Times New Roman"/>
          <w:b/>
          <w:bCs/>
          <w:sz w:val="22"/>
          <w:szCs w:val="22"/>
        </w:rPr>
        <w:t xml:space="preserve">– </w:t>
      </w:r>
      <w:proofErr w:type="gramStart"/>
      <w:r w:rsidRPr="00CB59E8">
        <w:rPr>
          <w:rFonts w:ascii="Times New Roman" w:hAnsi="Times New Roman" w:cs="Times New Roman"/>
          <w:b/>
          <w:bCs/>
          <w:sz w:val="22"/>
          <w:szCs w:val="22"/>
        </w:rPr>
        <w:t>предлога</w:t>
      </w:r>
      <w:proofErr w:type="gramEnd"/>
      <w:r w:rsidRPr="00CB59E8">
        <w:rPr>
          <w:rFonts w:ascii="Times New Roman" w:hAnsi="Times New Roman" w:cs="Times New Roman"/>
          <w:b/>
          <w:bCs/>
          <w:sz w:val="22"/>
          <w:szCs w:val="22"/>
        </w:rPr>
        <w:t xml:space="preserve"> капиталних пројеката (по обрасц</w:t>
      </w:r>
      <w:r w:rsidRPr="00CB59E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има</w:t>
      </w:r>
      <w:r w:rsidRPr="00CB59E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B59E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датим уз ово</w:t>
      </w:r>
      <w:r w:rsidRPr="00CB59E8">
        <w:rPr>
          <w:rFonts w:ascii="Times New Roman" w:hAnsi="Times New Roman" w:cs="Times New Roman"/>
          <w:b/>
          <w:bCs/>
          <w:sz w:val="22"/>
          <w:szCs w:val="22"/>
        </w:rPr>
        <w:t xml:space="preserve"> Упутств</w:t>
      </w:r>
      <w:r w:rsidRPr="00CB59E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о- Табела </w:t>
      </w:r>
      <w:r w:rsidR="00B64674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5</w:t>
      </w:r>
      <w:r w:rsidRPr="00CB59E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и </w:t>
      </w:r>
      <w:r w:rsidR="00B64674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5</w:t>
      </w:r>
      <w:r w:rsidRPr="00CB59E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а</w:t>
      </w:r>
      <w:r w:rsidRPr="00CB59E8">
        <w:rPr>
          <w:rFonts w:ascii="Times New Roman" w:hAnsi="Times New Roman" w:cs="Times New Roman"/>
          <w:b/>
          <w:bCs/>
          <w:sz w:val="22"/>
          <w:szCs w:val="22"/>
        </w:rPr>
        <w:t>).</w:t>
      </w:r>
    </w:p>
    <w:p w:rsidR="00E65557" w:rsidRPr="00CB59E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</w:p>
    <w:p w:rsidR="00E65557" w:rsidRPr="00CB59E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CB59E8">
        <w:rPr>
          <w:rFonts w:ascii="Times New Roman" w:hAnsi="Times New Roman" w:cs="Times New Roman"/>
          <w:bCs/>
          <w:sz w:val="22"/>
          <w:szCs w:val="22"/>
        </w:rPr>
        <w:t>Захтеви за финансирање попуњавају се на основу предложеног обима буџетских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средстава и они обухватају све расходе и издатке и захтевају висок степен одговорности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буџетских корисника за правилно и рационално распоређивање средстава по пројектима,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активностима и програмима.</w:t>
      </w:r>
      <w:proofErr w:type="gramEnd"/>
    </w:p>
    <w:p w:rsidR="00E65557" w:rsidRPr="00CB59E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CB59E8">
        <w:rPr>
          <w:rFonts w:ascii="Times New Roman" w:hAnsi="Times New Roman" w:cs="Times New Roman"/>
          <w:bCs/>
          <w:sz w:val="22"/>
          <w:szCs w:val="22"/>
        </w:rPr>
        <w:t>Укупан збир свих захтева било ког буџетског корисника не сме да прелази укупан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обим средстава утврђен по критеријумима датим у овим смерницама.</w:t>
      </w:r>
      <w:proofErr w:type="gramEnd"/>
      <w:r w:rsidRPr="00CB59E8">
        <w:rPr>
          <w:rFonts w:ascii="Times New Roman" w:hAnsi="Times New Roman" w:cs="Times New Roman"/>
          <w:bCs/>
          <w:sz w:val="22"/>
          <w:szCs w:val="22"/>
        </w:rPr>
        <w:t xml:space="preserve"> У изузетним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случајевима, уколико се услед доношења нових прописа јавља потреба за програмским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активностима, које нису постојале у буџетима претходних година буџетски корисник подноси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захтев за додатно финансирање, као и предлог нове програмске активности и у обавези је да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детаљно писано образложи да се ради о новим активностима, услугама односно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програмима, за коју је потребно обезбедити додатна средства.</w:t>
      </w:r>
    </w:p>
    <w:p w:rsidR="00E65557" w:rsidRPr="00CB59E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CB59E8">
        <w:rPr>
          <w:rFonts w:ascii="Times New Roman" w:hAnsi="Times New Roman" w:cs="Times New Roman"/>
          <w:bCs/>
          <w:sz w:val="22"/>
          <w:szCs w:val="22"/>
        </w:rPr>
        <w:t>Захтеви за финансирање морају да представљају реалну процену финансијских потреба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корисника буџетских средстава, као и извора средстава из којих ће се ове потребе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финансирати.</w:t>
      </w:r>
      <w:proofErr w:type="gramEnd"/>
    </w:p>
    <w:p w:rsidR="00E65557" w:rsidRPr="00CB59E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B59E8">
        <w:rPr>
          <w:rFonts w:ascii="Times New Roman" w:hAnsi="Times New Roman" w:cs="Times New Roman"/>
          <w:bCs/>
          <w:sz w:val="22"/>
          <w:szCs w:val="22"/>
        </w:rPr>
        <w:t>С тим у вези, потребно је навести све очекиване изворе средстава: приходе из буџета и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додатне приходе директних и индиректних корисника буџетских средстава односно приходе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који се остварују из додатних активности.</w:t>
      </w:r>
    </w:p>
    <w:p w:rsidR="00E65557" w:rsidRPr="00CB59E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  <w:r w:rsidRPr="00CB59E8">
        <w:rPr>
          <w:rFonts w:ascii="Times New Roman" w:hAnsi="Times New Roman" w:cs="Times New Roman"/>
          <w:b/>
          <w:bCs/>
          <w:sz w:val="22"/>
          <w:szCs w:val="22"/>
          <w:u w:val="single"/>
        </w:rPr>
        <w:t>За кориснике је исказивање расхода из других извора, који нису буџетски, посебно</w:t>
      </w:r>
      <w:r w:rsidRPr="00CB59E8">
        <w:rPr>
          <w:rFonts w:ascii="Times New Roman" w:hAnsi="Times New Roman" w:cs="Times New Roman"/>
          <w:b/>
          <w:bCs/>
          <w:sz w:val="22"/>
          <w:szCs w:val="22"/>
          <w:u w:val="single"/>
          <w:lang w:val="sr-Cyrl-CS"/>
        </w:rPr>
        <w:t xml:space="preserve"> </w:t>
      </w:r>
      <w:r w:rsidRPr="00CB59E8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важно, обзиром да </w:t>
      </w:r>
      <w:r w:rsidRPr="00CB59E8">
        <w:rPr>
          <w:rFonts w:ascii="Times New Roman" w:hAnsi="Times New Roman" w:cs="Times New Roman"/>
          <w:b/>
          <w:bCs/>
          <w:sz w:val="22"/>
          <w:szCs w:val="22"/>
          <w:u w:val="single"/>
          <w:lang w:val="sr-Cyrl-CS"/>
        </w:rPr>
        <w:t xml:space="preserve">се, </w:t>
      </w:r>
      <w:r w:rsidRPr="00CB59E8">
        <w:rPr>
          <w:rFonts w:ascii="Times New Roman" w:hAnsi="Times New Roman" w:cs="Times New Roman"/>
          <w:b/>
          <w:bCs/>
          <w:sz w:val="22"/>
          <w:szCs w:val="22"/>
          <w:u w:val="single"/>
        </w:rPr>
        <w:t>у складу са Законом о буџетском систему</w:t>
      </w:r>
      <w:r w:rsidRPr="00CB59E8">
        <w:rPr>
          <w:rFonts w:ascii="Times New Roman" w:hAnsi="Times New Roman" w:cs="Times New Roman"/>
          <w:b/>
          <w:bCs/>
          <w:sz w:val="22"/>
          <w:szCs w:val="22"/>
          <w:u w:val="single"/>
          <w:lang w:val="sr-Cyrl-CS"/>
        </w:rPr>
        <w:t xml:space="preserve">, </w:t>
      </w:r>
      <w:r w:rsidRPr="00CB59E8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предви</w:t>
      </w:r>
      <w:r w:rsidRPr="00CB59E8">
        <w:rPr>
          <w:rFonts w:ascii="Times New Roman" w:hAnsi="Times New Roman" w:cs="Times New Roman"/>
          <w:b/>
          <w:bCs/>
          <w:sz w:val="22"/>
          <w:szCs w:val="22"/>
          <w:u w:val="single"/>
          <w:lang w:val="sr-Cyrl-CS"/>
        </w:rPr>
        <w:t>ђају</w:t>
      </w:r>
      <w:r w:rsidRPr="00CB59E8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посебне</w:t>
      </w:r>
      <w:r w:rsidRPr="00CB59E8">
        <w:rPr>
          <w:rFonts w:ascii="Times New Roman" w:hAnsi="Times New Roman" w:cs="Times New Roman"/>
          <w:b/>
          <w:bCs/>
          <w:sz w:val="22"/>
          <w:szCs w:val="22"/>
          <w:u w:val="single"/>
          <w:lang w:val="sr-Cyrl-CS"/>
        </w:rPr>
        <w:t xml:space="preserve"> </w:t>
      </w:r>
      <w:r w:rsidRPr="00CB59E8">
        <w:rPr>
          <w:rFonts w:ascii="Times New Roman" w:hAnsi="Times New Roman" w:cs="Times New Roman"/>
          <w:b/>
          <w:bCs/>
          <w:sz w:val="22"/>
          <w:szCs w:val="22"/>
          <w:u w:val="single"/>
        </w:rPr>
        <w:t>апропријације у Одлуци о буџету за расходе, који се финансирају само из њихових</w:t>
      </w:r>
      <w:r w:rsidRPr="00CB59E8">
        <w:rPr>
          <w:rFonts w:ascii="Times New Roman" w:hAnsi="Times New Roman" w:cs="Times New Roman"/>
          <w:b/>
          <w:bCs/>
          <w:sz w:val="22"/>
          <w:szCs w:val="22"/>
          <w:u w:val="single"/>
          <w:lang w:val="sr-Cyrl-CS"/>
        </w:rPr>
        <w:t xml:space="preserve"> </w:t>
      </w:r>
      <w:r w:rsidRPr="00CB59E8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сопствених прихода. </w:t>
      </w:r>
      <w:proofErr w:type="gramStart"/>
      <w:r w:rsidRPr="00CB59E8">
        <w:rPr>
          <w:rFonts w:ascii="Times New Roman" w:hAnsi="Times New Roman" w:cs="Times New Roman"/>
          <w:b/>
          <w:bCs/>
          <w:sz w:val="22"/>
          <w:szCs w:val="22"/>
          <w:u w:val="single"/>
        </w:rPr>
        <w:t>Услов за коришћење остварених сопствених прихода за одређену</w:t>
      </w:r>
      <w:r w:rsidRPr="00CB59E8">
        <w:rPr>
          <w:rFonts w:ascii="Times New Roman" w:hAnsi="Times New Roman" w:cs="Times New Roman"/>
          <w:b/>
          <w:bCs/>
          <w:sz w:val="22"/>
          <w:szCs w:val="22"/>
          <w:u w:val="single"/>
          <w:lang w:val="sr-Cyrl-CS"/>
        </w:rPr>
        <w:t xml:space="preserve"> </w:t>
      </w:r>
      <w:r w:rsidRPr="00CB59E8">
        <w:rPr>
          <w:rFonts w:ascii="Times New Roman" w:hAnsi="Times New Roman" w:cs="Times New Roman"/>
          <w:b/>
          <w:bCs/>
          <w:sz w:val="22"/>
          <w:szCs w:val="22"/>
          <w:u w:val="single"/>
        </w:rPr>
        <w:t>намену биће да је расход планиран у буџету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>.</w:t>
      </w:r>
      <w:proofErr w:type="gramEnd"/>
    </w:p>
    <w:p w:rsidR="00E65557" w:rsidRPr="00CB59E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CB59E8">
        <w:rPr>
          <w:rFonts w:ascii="Times New Roman" w:hAnsi="Times New Roman" w:cs="Times New Roman"/>
          <w:bCs/>
          <w:sz w:val="22"/>
          <w:szCs w:val="22"/>
        </w:rPr>
        <w:t>Директни корисник буџетских средстава одговоран је за благовремено достављање овог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Упутства индиректним корисницима буџетских средстава у њиховој надлежности, као и за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прикупљање предлога финансијских планова индиректних корисника буџетских средстава, и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њихово обједињавање.</w:t>
      </w:r>
      <w:proofErr w:type="gramEnd"/>
      <w:r w:rsidRPr="00CB59E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CB59E8">
        <w:rPr>
          <w:rFonts w:ascii="Times New Roman" w:hAnsi="Times New Roman" w:cs="Times New Roman"/>
          <w:bCs/>
          <w:sz w:val="22"/>
          <w:szCs w:val="22"/>
        </w:rPr>
        <w:t>Тако обједињени финансијски планови свих индиректних корисника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буџетских средстава достављају се, такође у року.</w:t>
      </w:r>
      <w:proofErr w:type="gramEnd"/>
    </w:p>
    <w:p w:rsidR="00E65557" w:rsidRPr="00CB59E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B59E8">
        <w:rPr>
          <w:rFonts w:ascii="Times New Roman" w:hAnsi="Times New Roman" w:cs="Times New Roman"/>
          <w:bCs/>
          <w:sz w:val="22"/>
          <w:szCs w:val="22"/>
        </w:rPr>
        <w:t>Средства за издатке за основне и средње школе, као и за Центар за социјални рад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и Дом здравља</w:t>
      </w:r>
      <w:r w:rsidRPr="00CB59E8">
        <w:rPr>
          <w:rFonts w:ascii="Times New Roman" w:hAnsi="Times New Roman" w:cs="Times New Roman"/>
          <w:bCs/>
          <w:sz w:val="22"/>
          <w:szCs w:val="22"/>
        </w:rPr>
        <w:t>, који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су индиректни корисници буџета Републике Србије, у захтевима се исказују на економској</w:t>
      </w:r>
    </w:p>
    <w:p w:rsidR="00E65557" w:rsidRPr="00CB59E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CB59E8">
        <w:rPr>
          <w:rFonts w:ascii="Times New Roman" w:hAnsi="Times New Roman" w:cs="Times New Roman"/>
          <w:bCs/>
          <w:sz w:val="22"/>
          <w:szCs w:val="22"/>
        </w:rPr>
        <w:t>класификацији</w:t>
      </w:r>
      <w:proofErr w:type="gramEnd"/>
      <w:r w:rsidRPr="00CB59E8">
        <w:rPr>
          <w:rFonts w:ascii="Times New Roman" w:hAnsi="Times New Roman" w:cs="Times New Roman"/>
          <w:bCs/>
          <w:sz w:val="22"/>
          <w:szCs w:val="22"/>
        </w:rPr>
        <w:t xml:space="preserve"> 463 – Трансфери осталим нивоима власти. </w:t>
      </w:r>
      <w:proofErr w:type="gramStart"/>
      <w:r w:rsidRPr="00CB59E8">
        <w:rPr>
          <w:rFonts w:ascii="Times New Roman" w:hAnsi="Times New Roman" w:cs="Times New Roman"/>
          <w:bCs/>
          <w:sz w:val="22"/>
          <w:szCs w:val="22"/>
        </w:rPr>
        <w:t>Истовремено, за ове кориснике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достављају се и подаци исказани према врстама расхода у Табели 1, 2.</w:t>
      </w:r>
      <w:proofErr w:type="gramEnd"/>
      <w:r w:rsidRPr="00CB59E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CB59E8">
        <w:rPr>
          <w:rFonts w:ascii="Times New Roman" w:hAnsi="Times New Roman" w:cs="Times New Roman"/>
          <w:bCs/>
          <w:sz w:val="22"/>
          <w:szCs w:val="22"/>
        </w:rPr>
        <w:t>и</w:t>
      </w:r>
      <w:proofErr w:type="gramEnd"/>
      <w:r w:rsidRPr="00CB59E8">
        <w:rPr>
          <w:rFonts w:ascii="Times New Roman" w:hAnsi="Times New Roman" w:cs="Times New Roman"/>
          <w:bCs/>
          <w:sz w:val="22"/>
          <w:szCs w:val="22"/>
        </w:rPr>
        <w:t xml:space="preserve"> 3. </w:t>
      </w:r>
      <w:proofErr w:type="gramStart"/>
      <w:r w:rsidRPr="00CB59E8">
        <w:rPr>
          <w:rFonts w:ascii="Times New Roman" w:hAnsi="Times New Roman" w:cs="Times New Roman"/>
          <w:bCs/>
          <w:sz w:val="22"/>
          <w:szCs w:val="22"/>
        </w:rPr>
        <w:t>који</w:t>
      </w:r>
      <w:proofErr w:type="gramEnd"/>
      <w:r w:rsidRPr="00CB59E8">
        <w:rPr>
          <w:rFonts w:ascii="Times New Roman" w:hAnsi="Times New Roman" w:cs="Times New Roman"/>
          <w:bCs/>
          <w:sz w:val="22"/>
          <w:szCs w:val="22"/>
        </w:rPr>
        <w:t xml:space="preserve"> су садржани у</w:t>
      </w:r>
    </w:p>
    <w:p w:rsidR="00E65557" w:rsidRPr="00B64674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  <w:proofErr w:type="gramStart"/>
      <w:r w:rsidRPr="00CB59E8">
        <w:rPr>
          <w:rFonts w:ascii="Times New Roman" w:hAnsi="Times New Roman" w:cs="Times New Roman"/>
          <w:bCs/>
          <w:sz w:val="22"/>
          <w:szCs w:val="22"/>
        </w:rPr>
        <w:t>износу</w:t>
      </w:r>
      <w:proofErr w:type="gramEnd"/>
      <w:r w:rsidRPr="00CB59E8">
        <w:rPr>
          <w:rFonts w:ascii="Times New Roman" w:hAnsi="Times New Roman" w:cs="Times New Roman"/>
          <w:bCs/>
          <w:sz w:val="22"/>
          <w:szCs w:val="22"/>
        </w:rPr>
        <w:t xml:space="preserve"> исказаном на економској класификацији 463</w:t>
      </w:r>
      <w:r w:rsidR="00B64674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као и програмски образци који ближе одређују начин трошења захтеваних средстава  и ефекте који се обезбеђују њиховим трошењем.</w:t>
      </w:r>
    </w:p>
    <w:p w:rsidR="00E65557" w:rsidRPr="00CB59E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  <w:proofErr w:type="gramStart"/>
      <w:r w:rsidRPr="00CB59E8">
        <w:rPr>
          <w:rFonts w:ascii="Times New Roman" w:hAnsi="Times New Roman" w:cs="Times New Roman"/>
          <w:bCs/>
          <w:sz w:val="22"/>
          <w:szCs w:val="22"/>
        </w:rPr>
        <w:t>У складу са чланом 122.</w:t>
      </w:r>
      <w:proofErr w:type="gramEnd"/>
      <w:r w:rsidRPr="00CB59E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CB59E8">
        <w:rPr>
          <w:rFonts w:ascii="Times New Roman" w:hAnsi="Times New Roman" w:cs="Times New Roman"/>
          <w:bCs/>
          <w:sz w:val="22"/>
          <w:szCs w:val="22"/>
        </w:rPr>
        <w:t>Закона о буџетском систему, одредбе овог закона, које се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односе на програмски део буџета, постоји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обавеза корисника буџетских средстава да припреме предлоге финансијских планова (као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саставног дела програма пословања/рада) по програмском моделу.</w:t>
      </w:r>
      <w:proofErr w:type="gramEnd"/>
      <w:r w:rsidRPr="00CB59E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CB59E8">
        <w:rPr>
          <w:rFonts w:ascii="Times New Roman" w:hAnsi="Times New Roman" w:cs="Times New Roman"/>
          <w:bCs/>
          <w:sz w:val="22"/>
          <w:szCs w:val="22"/>
        </w:rPr>
        <w:t>Упућујемо кориснике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буџета да се на интернет страници Министарства финансија налази Упутство за израду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програмског буџета које је потребно користити за припрему предлога финансијских планова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за 2015.</w:t>
      </w:r>
      <w:proofErr w:type="gramEnd"/>
      <w:r w:rsidRPr="00CB59E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CB59E8">
        <w:rPr>
          <w:rFonts w:ascii="Times New Roman" w:hAnsi="Times New Roman" w:cs="Times New Roman"/>
          <w:bCs/>
          <w:sz w:val="22"/>
          <w:szCs w:val="22"/>
        </w:rPr>
        <w:t>годину</w:t>
      </w:r>
      <w:proofErr w:type="gramEnd"/>
      <w:r w:rsidRPr="00CB59E8">
        <w:rPr>
          <w:rFonts w:ascii="Times New Roman" w:hAnsi="Times New Roman" w:cs="Times New Roman"/>
          <w:bCs/>
          <w:sz w:val="22"/>
          <w:szCs w:val="22"/>
        </w:rPr>
        <w:t xml:space="preserve"> и две наредне године. </w:t>
      </w:r>
      <w:proofErr w:type="gramStart"/>
      <w:r w:rsidRPr="00CB59E8">
        <w:rPr>
          <w:rFonts w:ascii="Times New Roman" w:hAnsi="Times New Roman" w:cs="Times New Roman"/>
          <w:bCs/>
          <w:sz w:val="22"/>
          <w:szCs w:val="22"/>
        </w:rPr>
        <w:t>Нарочито је потребно обратити пажњу на шифарник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програма, програмских активности и пројеката који су дати у прилогу овог упутства.</w:t>
      </w:r>
      <w:proofErr w:type="gramEnd"/>
    </w:p>
    <w:p w:rsidR="000A4F0B" w:rsidRPr="00785F19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sr-Cyrl-CS"/>
        </w:rPr>
      </w:pPr>
      <w:r w:rsidRPr="00CB59E8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1. Захтев за текуће издатке </w:t>
      </w:r>
      <w:r w:rsidR="00785F19">
        <w:rPr>
          <w:rFonts w:ascii="Times New Roman" w:hAnsi="Times New Roman" w:cs="Times New Roman"/>
          <w:b/>
          <w:bCs/>
          <w:sz w:val="22"/>
          <w:szCs w:val="22"/>
          <w:u w:val="single"/>
          <w:lang w:val="sr-Cyrl-CS"/>
        </w:rPr>
        <w:t xml:space="preserve">  (табела 1)</w:t>
      </w:r>
    </w:p>
    <w:p w:rsidR="00E65557" w:rsidRPr="00CB59E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CB59E8">
        <w:rPr>
          <w:rFonts w:ascii="Times New Roman" w:hAnsi="Times New Roman" w:cs="Times New Roman"/>
          <w:bCs/>
          <w:sz w:val="22"/>
          <w:szCs w:val="22"/>
        </w:rPr>
        <w:t>Захтев за текуће издатке сачињава се на основу процењеног обима буџетских средстава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за период 201</w:t>
      </w:r>
      <w:r w:rsidR="00524ED3"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CB59E8">
        <w:rPr>
          <w:rFonts w:ascii="Times New Roman" w:hAnsi="Times New Roman" w:cs="Times New Roman"/>
          <w:bCs/>
          <w:sz w:val="22"/>
          <w:szCs w:val="22"/>
        </w:rPr>
        <w:t>-201</w:t>
      </w:r>
      <w:r w:rsidR="00524ED3"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>8</w:t>
      </w:r>
      <w:r w:rsidRPr="00CB59E8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CB59E8">
        <w:rPr>
          <w:rFonts w:ascii="Times New Roman" w:hAnsi="Times New Roman" w:cs="Times New Roman"/>
          <w:bCs/>
          <w:sz w:val="22"/>
          <w:szCs w:val="22"/>
        </w:rPr>
        <w:t xml:space="preserve"> године, као и из осталих извора средстава, планираних за финансирање у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201</w:t>
      </w:r>
      <w:r w:rsidR="00524ED3"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CB59E8">
        <w:rPr>
          <w:rFonts w:ascii="Times New Roman" w:hAnsi="Times New Roman" w:cs="Times New Roman"/>
          <w:bCs/>
          <w:sz w:val="22"/>
          <w:szCs w:val="22"/>
        </w:rPr>
        <w:t>. и наредне две године.</w:t>
      </w:r>
    </w:p>
    <w:p w:rsidR="00E65557" w:rsidRPr="00CB59E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  <w:r w:rsidRPr="00CB59E8">
        <w:rPr>
          <w:rFonts w:ascii="Times New Roman" w:hAnsi="Times New Roman" w:cs="Times New Roman"/>
          <w:bCs/>
          <w:sz w:val="22"/>
          <w:szCs w:val="22"/>
        </w:rPr>
        <w:t>Захтев за текуће издатке мора да садржи писано образложење захтева и табеле, и то: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</w:p>
    <w:p w:rsidR="00E65557" w:rsidRPr="00CB59E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</w:p>
    <w:p w:rsidR="00E65557" w:rsidRPr="00CB59E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  <w:r w:rsidRPr="00CB59E8">
        <w:rPr>
          <w:rFonts w:ascii="Times New Roman" w:hAnsi="Times New Roman" w:cs="Times New Roman"/>
          <w:bCs/>
          <w:sz w:val="22"/>
          <w:szCs w:val="22"/>
        </w:rPr>
        <w:lastRenderedPageBreak/>
        <w:t>А. Писмено образложење даје податке о организационој структури и активностима као и о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броју запослених у директном кориснику буџетских средстава; (навести колико износе укупно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планирана средства у оквиру Захтева за текуће издатке, и колико од укупног износа по сваком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 xml:space="preserve">извору финансирања: из буџета 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>општине</w:t>
      </w:r>
      <w:r w:rsidRPr="00CB59E8">
        <w:rPr>
          <w:rFonts w:ascii="Times New Roman" w:hAnsi="Times New Roman" w:cs="Times New Roman"/>
          <w:bCs/>
          <w:sz w:val="22"/>
          <w:szCs w:val="22"/>
        </w:rPr>
        <w:t>, сопствених средстава, донација...) Дати објашњење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планираних средстава на свакој економској класификацији посебно, наводећи: извор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финансирања, правни основ, методологију која је коришћена приликом израчунавања</w:t>
      </w:r>
      <w:r w:rsidRPr="00CB59E8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CB59E8">
        <w:rPr>
          <w:rFonts w:ascii="Times New Roman" w:hAnsi="Times New Roman" w:cs="Times New Roman"/>
          <w:bCs/>
          <w:sz w:val="22"/>
          <w:szCs w:val="22"/>
        </w:rPr>
        <w:t>трошкова.</w:t>
      </w:r>
    </w:p>
    <w:p w:rsidR="00E65557" w:rsidRPr="00CB59E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</w:p>
    <w:p w:rsidR="00E65557" w:rsidRPr="00BE5814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</w:p>
    <w:p w:rsidR="00E65557" w:rsidRPr="00BE5814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E5814">
        <w:rPr>
          <w:rFonts w:ascii="Times New Roman" w:hAnsi="Times New Roman" w:cs="Times New Roman"/>
          <w:b/>
          <w:bCs/>
          <w:sz w:val="22"/>
          <w:szCs w:val="22"/>
          <w:u w:val="single"/>
        </w:rPr>
        <w:t>2. Захтев за основна средства (табела 2)</w:t>
      </w:r>
    </w:p>
    <w:p w:rsidR="00E65557" w:rsidRPr="00785F19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85F19">
        <w:rPr>
          <w:rFonts w:ascii="Times New Roman" w:hAnsi="Times New Roman" w:cs="Times New Roman"/>
          <w:bCs/>
          <w:sz w:val="22"/>
          <w:szCs w:val="22"/>
        </w:rPr>
        <w:t>Захтев за основна средства (класа 5) корисник буџетских средстава доставља за:</w:t>
      </w:r>
    </w:p>
    <w:p w:rsidR="00E65557" w:rsidRPr="00785F19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85F19">
        <w:rPr>
          <w:rFonts w:ascii="Times New Roman" w:hAnsi="Times New Roman" w:cs="Times New Roman"/>
          <w:bCs/>
          <w:sz w:val="22"/>
          <w:szCs w:val="22"/>
        </w:rPr>
        <w:t xml:space="preserve">– </w:t>
      </w:r>
      <w:proofErr w:type="gramStart"/>
      <w:r w:rsidRPr="00785F19">
        <w:rPr>
          <w:rFonts w:ascii="Times New Roman" w:hAnsi="Times New Roman" w:cs="Times New Roman"/>
          <w:bCs/>
          <w:sz w:val="22"/>
          <w:szCs w:val="22"/>
        </w:rPr>
        <w:t>набавку</w:t>
      </w:r>
      <w:proofErr w:type="gramEnd"/>
      <w:r w:rsidRPr="00785F19">
        <w:rPr>
          <w:rFonts w:ascii="Times New Roman" w:hAnsi="Times New Roman" w:cs="Times New Roman"/>
          <w:bCs/>
          <w:sz w:val="22"/>
          <w:szCs w:val="22"/>
        </w:rPr>
        <w:t xml:space="preserve"> опреме;</w:t>
      </w:r>
    </w:p>
    <w:p w:rsidR="00E65557" w:rsidRPr="00785F19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85F19">
        <w:rPr>
          <w:rFonts w:ascii="Times New Roman" w:hAnsi="Times New Roman" w:cs="Times New Roman"/>
          <w:bCs/>
          <w:sz w:val="22"/>
          <w:szCs w:val="22"/>
        </w:rPr>
        <w:t xml:space="preserve">– </w:t>
      </w:r>
      <w:proofErr w:type="gramStart"/>
      <w:r w:rsidRPr="00785F19">
        <w:rPr>
          <w:rFonts w:ascii="Times New Roman" w:hAnsi="Times New Roman" w:cs="Times New Roman"/>
          <w:bCs/>
          <w:sz w:val="22"/>
          <w:szCs w:val="22"/>
        </w:rPr>
        <w:t>средства</w:t>
      </w:r>
      <w:proofErr w:type="gramEnd"/>
      <w:r w:rsidRPr="00785F19">
        <w:rPr>
          <w:rFonts w:ascii="Times New Roman" w:hAnsi="Times New Roman" w:cs="Times New Roman"/>
          <w:bCs/>
          <w:sz w:val="22"/>
          <w:szCs w:val="22"/>
        </w:rPr>
        <w:t xml:space="preserve"> за капиталне пројекте започете у претходним годинама;</w:t>
      </w:r>
    </w:p>
    <w:p w:rsidR="00E65557" w:rsidRPr="00785F19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85F19">
        <w:rPr>
          <w:rFonts w:ascii="Times New Roman" w:hAnsi="Times New Roman" w:cs="Times New Roman"/>
          <w:bCs/>
          <w:sz w:val="22"/>
          <w:szCs w:val="22"/>
        </w:rPr>
        <w:t xml:space="preserve">– </w:t>
      </w:r>
      <w:proofErr w:type="gramStart"/>
      <w:r w:rsidRPr="00785F19">
        <w:rPr>
          <w:rFonts w:ascii="Times New Roman" w:hAnsi="Times New Roman" w:cs="Times New Roman"/>
          <w:bCs/>
          <w:sz w:val="22"/>
          <w:szCs w:val="22"/>
        </w:rPr>
        <w:t>за</w:t>
      </w:r>
      <w:proofErr w:type="gramEnd"/>
      <w:r w:rsidRPr="00785F19">
        <w:rPr>
          <w:rFonts w:ascii="Times New Roman" w:hAnsi="Times New Roman" w:cs="Times New Roman"/>
          <w:bCs/>
          <w:sz w:val="22"/>
          <w:szCs w:val="22"/>
        </w:rPr>
        <w:t xml:space="preserve"> нове капиталне пројекте, који, по процени корисника буџетских</w:t>
      </w:r>
      <w:r w:rsidRPr="00785F19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785F19">
        <w:rPr>
          <w:rFonts w:ascii="Times New Roman" w:hAnsi="Times New Roman" w:cs="Times New Roman"/>
          <w:bCs/>
          <w:sz w:val="22"/>
          <w:szCs w:val="22"/>
        </w:rPr>
        <w:t>средстава, представљају приоритете које треба размотрити у поступку доношења</w:t>
      </w:r>
      <w:r w:rsidRPr="00785F19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785F19">
        <w:rPr>
          <w:rFonts w:ascii="Times New Roman" w:hAnsi="Times New Roman" w:cs="Times New Roman"/>
          <w:bCs/>
          <w:sz w:val="22"/>
          <w:szCs w:val="22"/>
        </w:rPr>
        <w:t>буџета за 201</w:t>
      </w:r>
      <w:r w:rsidR="00C1775B" w:rsidRPr="00785F19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785F19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gramStart"/>
      <w:r w:rsidRPr="00785F19">
        <w:rPr>
          <w:rFonts w:ascii="Times New Roman" w:hAnsi="Times New Roman" w:cs="Times New Roman"/>
          <w:bCs/>
          <w:sz w:val="22"/>
          <w:szCs w:val="22"/>
        </w:rPr>
        <w:t>и</w:t>
      </w:r>
      <w:proofErr w:type="gramEnd"/>
      <w:r w:rsidRPr="00785F19">
        <w:rPr>
          <w:rFonts w:ascii="Times New Roman" w:hAnsi="Times New Roman" w:cs="Times New Roman"/>
          <w:bCs/>
          <w:sz w:val="22"/>
          <w:szCs w:val="22"/>
        </w:rPr>
        <w:t xml:space="preserve"> наредне две године.</w:t>
      </w:r>
    </w:p>
    <w:p w:rsidR="00E65557" w:rsidRPr="00785F19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85F19">
        <w:rPr>
          <w:rFonts w:ascii="Times New Roman" w:hAnsi="Times New Roman" w:cs="Times New Roman"/>
          <w:bCs/>
          <w:sz w:val="22"/>
          <w:szCs w:val="22"/>
        </w:rPr>
        <w:t>Захтев за основна средства састоји се из:</w:t>
      </w:r>
    </w:p>
    <w:p w:rsidR="00E65557" w:rsidRPr="00785F19" w:rsidRDefault="00E65557" w:rsidP="00E6555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85F19">
        <w:rPr>
          <w:rFonts w:ascii="Times New Roman" w:eastAsia="SymbolMT" w:hAnsi="Times New Roman" w:cs="Times New Roman"/>
          <w:bCs/>
          <w:sz w:val="22"/>
          <w:szCs w:val="22"/>
        </w:rPr>
        <w:t xml:space="preserve"> </w:t>
      </w:r>
      <w:r w:rsidRPr="00785F19">
        <w:rPr>
          <w:rFonts w:ascii="Times New Roman" w:hAnsi="Times New Roman" w:cs="Times New Roman"/>
          <w:bCs/>
          <w:sz w:val="22"/>
          <w:szCs w:val="22"/>
        </w:rPr>
        <w:t>писменог образложења, којим се сваки појединачни захтев детаљно описује и правда</w:t>
      </w:r>
      <w:r w:rsidRPr="00785F19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785F19">
        <w:rPr>
          <w:rFonts w:ascii="Times New Roman" w:hAnsi="Times New Roman" w:cs="Times New Roman"/>
          <w:bCs/>
          <w:sz w:val="22"/>
          <w:szCs w:val="22"/>
        </w:rPr>
        <w:t>(назив појединих врста инвестиција, почетак реализације, план набавки и трошења</w:t>
      </w:r>
      <w:r w:rsidRPr="00785F19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785F19">
        <w:rPr>
          <w:rFonts w:ascii="Times New Roman" w:hAnsi="Times New Roman" w:cs="Times New Roman"/>
          <w:bCs/>
          <w:sz w:val="22"/>
          <w:szCs w:val="22"/>
        </w:rPr>
        <w:t>средстава, време завршетка, резултат успешности реализације, процена будућих</w:t>
      </w:r>
      <w:r w:rsidRPr="00785F19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785F19">
        <w:rPr>
          <w:rFonts w:ascii="Times New Roman" w:hAnsi="Times New Roman" w:cs="Times New Roman"/>
          <w:bCs/>
          <w:sz w:val="22"/>
          <w:szCs w:val="22"/>
        </w:rPr>
        <w:t>трошкова који проистичу из рада и одржавања основних средстава по завршетку</w:t>
      </w:r>
      <w:r w:rsidRPr="00785F19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785F19">
        <w:rPr>
          <w:rFonts w:ascii="Times New Roman" w:hAnsi="Times New Roman" w:cs="Times New Roman"/>
          <w:bCs/>
          <w:sz w:val="22"/>
          <w:szCs w:val="22"/>
        </w:rPr>
        <w:t>радова), и</w:t>
      </w:r>
    </w:p>
    <w:p w:rsidR="00E65557" w:rsidRPr="00785F19" w:rsidRDefault="00E65557" w:rsidP="00E6555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785F19">
        <w:rPr>
          <w:rFonts w:ascii="Times New Roman" w:hAnsi="Times New Roman" w:cs="Times New Roman"/>
          <w:bCs/>
          <w:sz w:val="22"/>
          <w:szCs w:val="22"/>
        </w:rPr>
        <w:t>износа</w:t>
      </w:r>
      <w:proofErr w:type="gramEnd"/>
      <w:r w:rsidRPr="00785F19">
        <w:rPr>
          <w:rFonts w:ascii="Times New Roman" w:hAnsi="Times New Roman" w:cs="Times New Roman"/>
          <w:bCs/>
          <w:sz w:val="22"/>
          <w:szCs w:val="22"/>
        </w:rPr>
        <w:t xml:space="preserve"> средстава потребних за финансирање основних средстава, који се исказују у табели 2 по изворима и уколико је то потребно, наводи</w:t>
      </w:r>
      <w:r w:rsidRPr="00785F19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785F19">
        <w:rPr>
          <w:rFonts w:ascii="Times New Roman" w:hAnsi="Times New Roman" w:cs="Times New Roman"/>
          <w:bCs/>
          <w:sz w:val="22"/>
          <w:szCs w:val="22"/>
        </w:rPr>
        <w:t>динамику реализације пројекта као и процену укупне вредности.</w:t>
      </w:r>
    </w:p>
    <w:p w:rsidR="00E65557" w:rsidRPr="00785F19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785F19">
        <w:rPr>
          <w:rFonts w:ascii="Times New Roman" w:hAnsi="Times New Roman" w:cs="Times New Roman"/>
          <w:bCs/>
          <w:sz w:val="22"/>
          <w:szCs w:val="22"/>
        </w:rPr>
        <w:t>Уколико се у табели 2 на истој економској класификацији искаже укупан износ</w:t>
      </w:r>
      <w:r w:rsidRPr="00785F19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785F19">
        <w:rPr>
          <w:rFonts w:ascii="Times New Roman" w:hAnsi="Times New Roman" w:cs="Times New Roman"/>
          <w:bCs/>
          <w:sz w:val="22"/>
          <w:szCs w:val="22"/>
        </w:rPr>
        <w:t>потребан за набавку више различитих типова односно врста основног средства, потребно је у</w:t>
      </w:r>
      <w:r w:rsidRPr="00785F19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785F19">
        <w:rPr>
          <w:rFonts w:ascii="Times New Roman" w:hAnsi="Times New Roman" w:cs="Times New Roman"/>
          <w:bCs/>
          <w:sz w:val="22"/>
          <w:szCs w:val="22"/>
        </w:rPr>
        <w:t>образложењу захтева исказати појединачно износе по ближим врстама.</w:t>
      </w:r>
      <w:proofErr w:type="gramEnd"/>
    </w:p>
    <w:p w:rsidR="00E65557" w:rsidRPr="00B8634A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785F19">
        <w:rPr>
          <w:rFonts w:ascii="Times New Roman" w:hAnsi="Times New Roman" w:cs="Times New Roman"/>
          <w:bCs/>
          <w:sz w:val="22"/>
          <w:szCs w:val="22"/>
        </w:rPr>
        <w:t>Хронолошким редом треба навести предложену динамику планирања набавке</w:t>
      </w:r>
      <w:r w:rsidRPr="00785F19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785F19">
        <w:rPr>
          <w:rFonts w:ascii="Times New Roman" w:hAnsi="Times New Roman" w:cs="Times New Roman"/>
          <w:bCs/>
          <w:sz w:val="22"/>
          <w:szCs w:val="22"/>
        </w:rPr>
        <w:t>основног средства</w:t>
      </w:r>
      <w:r w:rsidRPr="00E9463D">
        <w:rPr>
          <w:rFonts w:ascii="Times New Roman" w:hAnsi="Times New Roman" w:cs="Times New Roman"/>
          <w:bCs/>
          <w:sz w:val="22"/>
          <w:szCs w:val="22"/>
          <w:highlight w:val="cyan"/>
        </w:rPr>
        <w:t>.</w:t>
      </w:r>
      <w:proofErr w:type="gramEnd"/>
    </w:p>
    <w:p w:rsidR="00E65557" w:rsidRDefault="00E65557" w:rsidP="00E65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sr-Cyrl-CS"/>
        </w:rPr>
      </w:pPr>
    </w:p>
    <w:p w:rsidR="00E65557" w:rsidRPr="00B8634A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sr-Cyrl-CS"/>
        </w:rPr>
        <w:t xml:space="preserve">2а. </w:t>
      </w:r>
      <w:proofErr w:type="gramStart"/>
      <w:r w:rsidRPr="00B8634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Преглед капиталних пројеката (Табела </w:t>
      </w:r>
      <w:r w:rsidR="00785F19">
        <w:rPr>
          <w:rFonts w:ascii="Times New Roman" w:hAnsi="Times New Roman" w:cs="Times New Roman"/>
          <w:b/>
          <w:bCs/>
          <w:sz w:val="22"/>
          <w:szCs w:val="22"/>
          <w:u w:val="single"/>
          <w:lang w:val="sr-Cyrl-CS"/>
        </w:rPr>
        <w:t>5</w:t>
      </w:r>
      <w:r w:rsidRPr="00B8634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и Табела </w:t>
      </w:r>
      <w:r w:rsidR="00785F19">
        <w:rPr>
          <w:rFonts w:ascii="Times New Roman" w:hAnsi="Times New Roman" w:cs="Times New Roman"/>
          <w:b/>
          <w:bCs/>
          <w:sz w:val="22"/>
          <w:szCs w:val="22"/>
          <w:u w:val="single"/>
          <w:lang w:val="sr-Cyrl-CS"/>
        </w:rPr>
        <w:t>5</w:t>
      </w:r>
      <w:r w:rsidRPr="00B8634A">
        <w:rPr>
          <w:rFonts w:ascii="Times New Roman" w:hAnsi="Times New Roman" w:cs="Times New Roman"/>
          <w:b/>
          <w:bCs/>
          <w:sz w:val="22"/>
          <w:szCs w:val="22"/>
          <w:u w:val="single"/>
        </w:rPr>
        <w:t>а.)</w:t>
      </w:r>
      <w:proofErr w:type="gramEnd"/>
    </w:p>
    <w:p w:rsidR="00E65557" w:rsidRPr="00B8634A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B8634A">
        <w:rPr>
          <w:rFonts w:ascii="Times New Roman" w:hAnsi="Times New Roman" w:cs="Times New Roman"/>
          <w:bCs/>
          <w:sz w:val="22"/>
          <w:szCs w:val="22"/>
        </w:rPr>
        <w:t>Буџетски корисници који планирају реализацију капиталних пројеката морају доставити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списак капиталних пројеката са процењеном вредношћу на прописаним обрасцима-Преглед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капиталних пројеката за период 201</w:t>
      </w:r>
      <w:r w:rsidR="00785F19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B8634A">
        <w:rPr>
          <w:rFonts w:ascii="Times New Roman" w:hAnsi="Times New Roman" w:cs="Times New Roman"/>
          <w:bCs/>
          <w:sz w:val="22"/>
          <w:szCs w:val="22"/>
        </w:rPr>
        <w:t>-201</w:t>
      </w:r>
      <w:r w:rsidR="00785F19">
        <w:rPr>
          <w:rFonts w:ascii="Times New Roman" w:hAnsi="Times New Roman" w:cs="Times New Roman"/>
          <w:bCs/>
          <w:sz w:val="22"/>
          <w:szCs w:val="22"/>
          <w:lang w:val="sr-Cyrl-CS"/>
        </w:rPr>
        <w:t>8</w:t>
      </w:r>
      <w:r w:rsidRPr="00B8634A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B8634A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B8634A">
        <w:rPr>
          <w:rFonts w:ascii="Times New Roman" w:hAnsi="Times New Roman" w:cs="Times New Roman"/>
          <w:bCs/>
          <w:sz w:val="22"/>
          <w:szCs w:val="22"/>
        </w:rPr>
        <w:t>године</w:t>
      </w:r>
      <w:proofErr w:type="gramEnd"/>
      <w:r w:rsidRPr="00B8634A">
        <w:rPr>
          <w:rFonts w:ascii="Times New Roman" w:hAnsi="Times New Roman" w:cs="Times New Roman"/>
          <w:bCs/>
          <w:sz w:val="22"/>
          <w:szCs w:val="22"/>
        </w:rPr>
        <w:t>.</w:t>
      </w:r>
    </w:p>
    <w:p w:rsidR="00E65557" w:rsidRPr="00B8634A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8634A">
        <w:rPr>
          <w:rFonts w:ascii="Times New Roman" w:hAnsi="Times New Roman" w:cs="Times New Roman"/>
          <w:bCs/>
          <w:sz w:val="22"/>
          <w:szCs w:val="22"/>
        </w:rPr>
        <w:t>Приликом планирања буџета капиталних пројеката за три године потребно је поред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средстава из буџета локалне самоуправе, укључити и средства пројектних зајмова (донације,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средства буџета Републике Србије итд.) намењена за њихову реализацију само у износу за који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се процењује да ће бити повучен у тој години, имајући у виду статус пројектног зајма, уговором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дефинисане рокове, услове и динамику повлачења средстава итд.</w:t>
      </w:r>
    </w:p>
    <w:p w:rsidR="00E65557" w:rsidRPr="00B8634A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B8634A">
        <w:rPr>
          <w:rFonts w:ascii="Times New Roman" w:hAnsi="Times New Roman" w:cs="Times New Roman"/>
          <w:bCs/>
          <w:sz w:val="22"/>
          <w:szCs w:val="22"/>
        </w:rPr>
        <w:t>Корисници буџета достављају кратко писмено образложење за сваки капитални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пројекат за сваку годину посебно, и то са планираним роковима почетка и завршетка фазе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припреме и фазе реализације.</w:t>
      </w:r>
      <w:proofErr w:type="gramEnd"/>
    </w:p>
    <w:p w:rsidR="00E65557" w:rsidRPr="00B8634A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09748A">
        <w:rPr>
          <w:rFonts w:ascii="Times New Roman" w:hAnsi="Times New Roman" w:cs="Times New Roman"/>
          <w:b/>
          <w:bCs/>
          <w:sz w:val="22"/>
          <w:szCs w:val="22"/>
          <w:u w:val="single"/>
        </w:rPr>
        <w:t>Фаза припреме</w:t>
      </w:r>
      <w:r w:rsidRPr="00B8634A">
        <w:rPr>
          <w:rFonts w:ascii="Times New Roman" w:hAnsi="Times New Roman" w:cs="Times New Roman"/>
          <w:bCs/>
          <w:sz w:val="22"/>
          <w:szCs w:val="22"/>
        </w:rPr>
        <w:t xml:space="preserve"> укључује активности на обезбеђивању земљишта, изради пројектно-техничке документације и прибављању неопходних дозвола и сагласности, односно активности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неопходне за стварање услова за почетак реализације капиталног пројекта.</w:t>
      </w:r>
      <w:proofErr w:type="gramEnd"/>
      <w:r w:rsidRPr="00B8634A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B8634A">
        <w:rPr>
          <w:rFonts w:ascii="Times New Roman" w:hAnsi="Times New Roman" w:cs="Times New Roman"/>
          <w:bCs/>
          <w:sz w:val="22"/>
          <w:szCs w:val="22"/>
        </w:rPr>
        <w:t>Фаза припреме се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завршава закључењем уговора, па је потребно укључити и законом прописане рокове за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спровођење поступка јавне набавке.</w:t>
      </w:r>
      <w:proofErr w:type="gramEnd"/>
      <w:r w:rsidRPr="00B8634A">
        <w:rPr>
          <w:rFonts w:ascii="Times New Roman" w:hAnsi="Times New Roman" w:cs="Times New Roman"/>
          <w:bCs/>
          <w:sz w:val="22"/>
          <w:szCs w:val="22"/>
        </w:rPr>
        <w:t xml:space="preserve"> Овде је потребно навести оквирне рокове за наведене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активности (почетак и број месеци потребних за израду пројекта, рокови за спровођење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поступка јавне набавке</w:t>
      </w:r>
      <w:proofErr w:type="gramStart"/>
      <w:r w:rsidRPr="00B8634A">
        <w:rPr>
          <w:rFonts w:ascii="Times New Roman" w:hAnsi="Times New Roman" w:cs="Times New Roman"/>
          <w:bCs/>
          <w:sz w:val="22"/>
          <w:szCs w:val="22"/>
        </w:rPr>
        <w:t>,…</w:t>
      </w:r>
      <w:proofErr w:type="gramEnd"/>
      <w:r w:rsidRPr="00B8634A">
        <w:rPr>
          <w:rFonts w:ascii="Times New Roman" w:hAnsi="Times New Roman" w:cs="Times New Roman"/>
          <w:bCs/>
          <w:sz w:val="22"/>
          <w:szCs w:val="22"/>
        </w:rPr>
        <w:t>)</w:t>
      </w:r>
    </w:p>
    <w:p w:rsidR="00E65557" w:rsidRPr="00B8634A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9748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Фаза </w:t>
      </w:r>
      <w:proofErr w:type="gramStart"/>
      <w:r w:rsidRPr="0009748A">
        <w:rPr>
          <w:rFonts w:ascii="Times New Roman" w:hAnsi="Times New Roman" w:cs="Times New Roman"/>
          <w:b/>
          <w:bCs/>
          <w:sz w:val="22"/>
          <w:szCs w:val="22"/>
          <w:u w:val="single"/>
        </w:rPr>
        <w:t>реализације</w:t>
      </w:r>
      <w:r w:rsidRPr="00B8634A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укључује</w:t>
      </w:r>
      <w:proofErr w:type="gramEnd"/>
      <w:r w:rsidRPr="00B8634A">
        <w:rPr>
          <w:rFonts w:ascii="Times New Roman" w:hAnsi="Times New Roman" w:cs="Times New Roman"/>
          <w:bCs/>
          <w:sz w:val="22"/>
          <w:szCs w:val="22"/>
        </w:rPr>
        <w:t xml:space="preserve"> активности након закључења уговора о радовима, односно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набавци добара и услуга, као и активности у реализацији уговора, у складу са дефинисаним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условима, роковима и динамичким плановима. За ову фазу потребно је навести оквирни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почетак и број месеци потребних за реализацију и предвиђени датум за почетак коришћења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 xml:space="preserve">објекта, односно набавке добра или </w:t>
      </w:r>
      <w:proofErr w:type="gramStart"/>
      <w:r w:rsidRPr="00B8634A">
        <w:rPr>
          <w:rFonts w:ascii="Times New Roman" w:hAnsi="Times New Roman" w:cs="Times New Roman"/>
          <w:bCs/>
          <w:sz w:val="22"/>
          <w:szCs w:val="22"/>
        </w:rPr>
        <w:t>услуге .</w:t>
      </w:r>
      <w:proofErr w:type="gramEnd"/>
    </w:p>
    <w:p w:rsidR="00E65557" w:rsidRPr="00B8634A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B8634A">
        <w:rPr>
          <w:rFonts w:ascii="Times New Roman" w:hAnsi="Times New Roman" w:cs="Times New Roman"/>
          <w:bCs/>
          <w:sz w:val="22"/>
          <w:szCs w:val="22"/>
        </w:rPr>
        <w:lastRenderedPageBreak/>
        <w:t>Потребно је укратко дати и технички опис пројекта (дужина пута, површина објекта,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опрема, машине и сл.).</w:t>
      </w:r>
      <w:proofErr w:type="gramEnd"/>
    </w:p>
    <w:p w:rsidR="00E65557" w:rsidRDefault="00E65557" w:rsidP="00E65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sr-Cyrl-CS"/>
        </w:rPr>
      </w:pPr>
    </w:p>
    <w:p w:rsidR="00E65557" w:rsidRPr="0009748A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9748A">
        <w:rPr>
          <w:rFonts w:ascii="Times New Roman" w:hAnsi="Times New Roman" w:cs="Times New Roman"/>
          <w:b/>
          <w:bCs/>
          <w:sz w:val="22"/>
          <w:szCs w:val="22"/>
          <w:u w:val="single"/>
        </w:rPr>
        <w:t>3. Захтев за додатна средства (табела 3)</w:t>
      </w:r>
    </w:p>
    <w:p w:rsidR="00E65557" w:rsidRPr="00B8634A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B8634A">
        <w:rPr>
          <w:rFonts w:ascii="Times New Roman" w:hAnsi="Times New Roman" w:cs="Times New Roman"/>
          <w:bCs/>
          <w:sz w:val="22"/>
          <w:szCs w:val="22"/>
        </w:rPr>
        <w:t>Напомињемо да су корисници буџетских средстава при изради финансијских планова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дужни да се строго придржавају предвиђених оквира могућег повећања или задржавања на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истом нивоу појединих издатака датим у овим смерницама.</w:t>
      </w:r>
      <w:proofErr w:type="gramEnd"/>
      <w:r w:rsidRPr="00B8634A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B8634A">
        <w:rPr>
          <w:rFonts w:ascii="Times New Roman" w:hAnsi="Times New Roman" w:cs="Times New Roman"/>
          <w:bCs/>
          <w:sz w:val="22"/>
          <w:szCs w:val="22"/>
        </w:rPr>
        <w:t>Међутим, уколико и поред тога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имају потребе за додатним средствима за неке од намена текућег финансирања, тај проблем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решава се преко захтева за додатним средствима.</w:t>
      </w:r>
      <w:proofErr w:type="gramEnd"/>
    </w:p>
    <w:p w:rsidR="00E65557" w:rsidRPr="00B8634A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8634A">
        <w:rPr>
          <w:rFonts w:ascii="Times New Roman" w:hAnsi="Times New Roman" w:cs="Times New Roman"/>
          <w:bCs/>
          <w:sz w:val="22"/>
          <w:szCs w:val="22"/>
        </w:rPr>
        <w:t>Захтев за додатна средства пружа директном и индиректном кориснику буџетских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средстава могућност да тражи недостајућа средства за финансирање и то:</w:t>
      </w:r>
    </w:p>
    <w:p w:rsidR="00E65557" w:rsidRPr="00B8634A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8634A">
        <w:rPr>
          <w:rFonts w:ascii="Times New Roman" w:hAnsi="Times New Roman" w:cs="Times New Roman"/>
          <w:bCs/>
          <w:sz w:val="22"/>
          <w:szCs w:val="22"/>
        </w:rPr>
        <w:t xml:space="preserve">– </w:t>
      </w:r>
      <w:proofErr w:type="gramStart"/>
      <w:r w:rsidRPr="00B8634A">
        <w:rPr>
          <w:rFonts w:ascii="Times New Roman" w:hAnsi="Times New Roman" w:cs="Times New Roman"/>
          <w:bCs/>
          <w:sz w:val="22"/>
          <w:szCs w:val="22"/>
        </w:rPr>
        <w:t>текућих</w:t>
      </w:r>
      <w:proofErr w:type="gramEnd"/>
      <w:r w:rsidRPr="00B8634A">
        <w:rPr>
          <w:rFonts w:ascii="Times New Roman" w:hAnsi="Times New Roman" w:cs="Times New Roman"/>
          <w:bCs/>
          <w:sz w:val="22"/>
          <w:szCs w:val="22"/>
        </w:rPr>
        <w:t xml:space="preserve"> активности, која се по процени директног корисника буџетских средстава не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могу подмирити из оквира предложеног обима буџетских средстава за период 201</w:t>
      </w:r>
      <w:r w:rsidR="00AC3C26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B8634A">
        <w:rPr>
          <w:rFonts w:ascii="Times New Roman" w:hAnsi="Times New Roman" w:cs="Times New Roman"/>
          <w:bCs/>
          <w:sz w:val="22"/>
          <w:szCs w:val="22"/>
        </w:rPr>
        <w:t>-201</w:t>
      </w:r>
      <w:r w:rsidR="00AC3C26">
        <w:rPr>
          <w:rFonts w:ascii="Times New Roman" w:hAnsi="Times New Roman" w:cs="Times New Roman"/>
          <w:bCs/>
          <w:sz w:val="22"/>
          <w:szCs w:val="22"/>
          <w:lang w:val="sr-Cyrl-CS"/>
        </w:rPr>
        <w:t>8</w:t>
      </w:r>
      <w:r w:rsidRPr="00B8634A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gramStart"/>
      <w:r w:rsidRPr="00B8634A">
        <w:rPr>
          <w:rFonts w:ascii="Times New Roman" w:hAnsi="Times New Roman" w:cs="Times New Roman"/>
          <w:bCs/>
          <w:sz w:val="22"/>
          <w:szCs w:val="22"/>
        </w:rPr>
        <w:t>године</w:t>
      </w:r>
      <w:proofErr w:type="gramEnd"/>
      <w:r w:rsidRPr="00B8634A">
        <w:rPr>
          <w:rFonts w:ascii="Times New Roman" w:hAnsi="Times New Roman" w:cs="Times New Roman"/>
          <w:bCs/>
          <w:sz w:val="22"/>
          <w:szCs w:val="22"/>
        </w:rPr>
        <w:t>;</w:t>
      </w:r>
    </w:p>
    <w:p w:rsidR="00E65557" w:rsidRPr="00B8634A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8634A">
        <w:rPr>
          <w:rFonts w:ascii="Times New Roman" w:hAnsi="Times New Roman" w:cs="Times New Roman"/>
          <w:bCs/>
          <w:sz w:val="22"/>
          <w:szCs w:val="22"/>
        </w:rPr>
        <w:t xml:space="preserve">– </w:t>
      </w:r>
      <w:proofErr w:type="gramStart"/>
      <w:r w:rsidRPr="00B8634A">
        <w:rPr>
          <w:rFonts w:ascii="Times New Roman" w:hAnsi="Times New Roman" w:cs="Times New Roman"/>
          <w:bCs/>
          <w:sz w:val="22"/>
          <w:szCs w:val="22"/>
        </w:rPr>
        <w:t>нових</w:t>
      </w:r>
      <w:proofErr w:type="gramEnd"/>
      <w:r w:rsidRPr="00B8634A">
        <w:rPr>
          <w:rFonts w:ascii="Times New Roman" w:hAnsi="Times New Roman" w:cs="Times New Roman"/>
          <w:bCs/>
          <w:sz w:val="22"/>
          <w:szCs w:val="22"/>
        </w:rPr>
        <w:t xml:space="preserve"> активности и услуга по приоритетима и</w:t>
      </w:r>
    </w:p>
    <w:p w:rsidR="00E65557" w:rsidRPr="00B8634A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8634A">
        <w:rPr>
          <w:rFonts w:ascii="Times New Roman" w:hAnsi="Times New Roman" w:cs="Times New Roman"/>
          <w:bCs/>
          <w:sz w:val="22"/>
          <w:szCs w:val="22"/>
        </w:rPr>
        <w:t xml:space="preserve">– </w:t>
      </w:r>
      <w:proofErr w:type="gramStart"/>
      <w:r w:rsidRPr="00B8634A">
        <w:rPr>
          <w:rFonts w:ascii="Times New Roman" w:hAnsi="Times New Roman" w:cs="Times New Roman"/>
          <w:bCs/>
          <w:sz w:val="22"/>
          <w:szCs w:val="22"/>
        </w:rPr>
        <w:t>нове</w:t>
      </w:r>
      <w:proofErr w:type="gramEnd"/>
      <w:r w:rsidRPr="00B8634A">
        <w:rPr>
          <w:rFonts w:ascii="Times New Roman" w:hAnsi="Times New Roman" w:cs="Times New Roman"/>
          <w:bCs/>
          <w:sz w:val="22"/>
          <w:szCs w:val="22"/>
        </w:rPr>
        <w:t xml:space="preserve"> активности чије се финансирање планира из других извора, као што су донације,</w:t>
      </w:r>
    </w:p>
    <w:p w:rsidR="00E65557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  <w:proofErr w:type="gramStart"/>
      <w:r w:rsidRPr="00B8634A">
        <w:rPr>
          <w:rFonts w:ascii="Times New Roman" w:hAnsi="Times New Roman" w:cs="Times New Roman"/>
          <w:bCs/>
          <w:sz w:val="22"/>
          <w:szCs w:val="22"/>
        </w:rPr>
        <w:t>односно</w:t>
      </w:r>
      <w:proofErr w:type="gramEnd"/>
      <w:r w:rsidRPr="00B8634A">
        <w:rPr>
          <w:rFonts w:ascii="Times New Roman" w:hAnsi="Times New Roman" w:cs="Times New Roman"/>
          <w:bCs/>
          <w:sz w:val="22"/>
          <w:szCs w:val="22"/>
        </w:rPr>
        <w:t xml:space="preserve"> трансфери.</w:t>
      </w:r>
    </w:p>
    <w:p w:rsidR="00E65557" w:rsidRPr="00EF183A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</w:p>
    <w:p w:rsidR="00E65557" w:rsidRPr="00B8634A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B8634A">
        <w:rPr>
          <w:rFonts w:ascii="Times New Roman" w:hAnsi="Times New Roman" w:cs="Times New Roman"/>
          <w:bCs/>
          <w:sz w:val="22"/>
          <w:szCs w:val="22"/>
        </w:rPr>
        <w:t>Захтев за додатна средства, поред табеларног дела, састоји се и из писаног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образложења, којим се појединачно описује и правда потреба за финансирањем, и износа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средстава потребних за финансирање сваке од појединачно тражених активности односно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услуга, које се исказује у таб 3.</w:t>
      </w:r>
      <w:proofErr w:type="gramEnd"/>
    </w:p>
    <w:p w:rsidR="00E65557" w:rsidRPr="00B8634A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B8634A">
        <w:rPr>
          <w:rFonts w:ascii="Times New Roman" w:hAnsi="Times New Roman" w:cs="Times New Roman"/>
          <w:bCs/>
          <w:sz w:val="22"/>
          <w:szCs w:val="22"/>
        </w:rPr>
        <w:t>Примера ради, уколико корисник има три захтева за додатно финансирање – попуњава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три табеле 3, у свакој уписује назив захтева (повећање броја запослених, текуће одржавање –кречење, трошкови осигурања) и на свакој уписује редослед приоритета по важности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(приоритет 1, приоритет 2, приоритет 3, итд.).</w:t>
      </w:r>
      <w:proofErr w:type="gramEnd"/>
    </w:p>
    <w:p w:rsidR="00E65557" w:rsidRPr="00B8634A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8634A">
        <w:rPr>
          <w:rFonts w:ascii="Times New Roman" w:hAnsi="Times New Roman" w:cs="Times New Roman"/>
          <w:bCs/>
          <w:sz w:val="22"/>
          <w:szCs w:val="22"/>
        </w:rPr>
        <w:t>У писаном образложењу, поред правног основа за извршавање наведеног расхода,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потребно је дати аргументацију захтева, која би требало да пружи одговоре на следећа питања:</w:t>
      </w:r>
    </w:p>
    <w:p w:rsidR="00E65557" w:rsidRPr="00B8634A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8634A">
        <w:rPr>
          <w:rFonts w:ascii="Times New Roman" w:hAnsi="Times New Roman" w:cs="Times New Roman"/>
          <w:bCs/>
          <w:sz w:val="22"/>
          <w:szCs w:val="22"/>
        </w:rPr>
        <w:t xml:space="preserve">– </w:t>
      </w:r>
      <w:proofErr w:type="gramStart"/>
      <w:r w:rsidRPr="00B8634A">
        <w:rPr>
          <w:rFonts w:ascii="Times New Roman" w:hAnsi="Times New Roman" w:cs="Times New Roman"/>
          <w:bCs/>
          <w:sz w:val="22"/>
          <w:szCs w:val="22"/>
        </w:rPr>
        <w:t>да</w:t>
      </w:r>
      <w:proofErr w:type="gramEnd"/>
      <w:r w:rsidRPr="00B8634A">
        <w:rPr>
          <w:rFonts w:ascii="Times New Roman" w:hAnsi="Times New Roman" w:cs="Times New Roman"/>
          <w:bCs/>
          <w:sz w:val="22"/>
          <w:szCs w:val="22"/>
        </w:rPr>
        <w:t xml:space="preserve"> ли постоји правни основ за активности за које се траже средства,</w:t>
      </w:r>
    </w:p>
    <w:p w:rsidR="00E65557" w:rsidRPr="00B8634A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8634A">
        <w:rPr>
          <w:rFonts w:ascii="Times New Roman" w:hAnsi="Times New Roman" w:cs="Times New Roman"/>
          <w:bCs/>
          <w:sz w:val="22"/>
          <w:szCs w:val="22"/>
        </w:rPr>
        <w:t xml:space="preserve">– </w:t>
      </w:r>
      <w:proofErr w:type="gramStart"/>
      <w:r w:rsidRPr="00B8634A">
        <w:rPr>
          <w:rFonts w:ascii="Times New Roman" w:hAnsi="Times New Roman" w:cs="Times New Roman"/>
          <w:bCs/>
          <w:sz w:val="22"/>
          <w:szCs w:val="22"/>
        </w:rPr>
        <w:t>у</w:t>
      </w:r>
      <w:proofErr w:type="gramEnd"/>
      <w:r w:rsidRPr="00B8634A">
        <w:rPr>
          <w:rFonts w:ascii="Times New Roman" w:hAnsi="Times New Roman" w:cs="Times New Roman"/>
          <w:bCs/>
          <w:sz w:val="22"/>
          <w:szCs w:val="22"/>
        </w:rPr>
        <w:t xml:space="preserve"> чему се огледа приоритет ове активности у односу на друге,</w:t>
      </w:r>
    </w:p>
    <w:p w:rsidR="00E65557" w:rsidRPr="00B8634A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8634A">
        <w:rPr>
          <w:rFonts w:ascii="Times New Roman" w:hAnsi="Times New Roman" w:cs="Times New Roman"/>
          <w:bCs/>
          <w:sz w:val="22"/>
          <w:szCs w:val="22"/>
        </w:rPr>
        <w:t xml:space="preserve">– </w:t>
      </w:r>
      <w:proofErr w:type="gramStart"/>
      <w:r w:rsidRPr="00B8634A">
        <w:rPr>
          <w:rFonts w:ascii="Times New Roman" w:hAnsi="Times New Roman" w:cs="Times New Roman"/>
          <w:bCs/>
          <w:sz w:val="22"/>
          <w:szCs w:val="22"/>
        </w:rPr>
        <w:t>шта</w:t>
      </w:r>
      <w:proofErr w:type="gramEnd"/>
      <w:r w:rsidRPr="00B8634A">
        <w:rPr>
          <w:rFonts w:ascii="Times New Roman" w:hAnsi="Times New Roman" w:cs="Times New Roman"/>
          <w:bCs/>
          <w:sz w:val="22"/>
          <w:szCs w:val="22"/>
        </w:rPr>
        <w:t xml:space="preserve"> је крајњи циљ који се постиже,</w:t>
      </w:r>
    </w:p>
    <w:p w:rsidR="00E65557" w:rsidRPr="00B8634A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8634A">
        <w:rPr>
          <w:rFonts w:ascii="Times New Roman" w:hAnsi="Times New Roman" w:cs="Times New Roman"/>
          <w:bCs/>
          <w:sz w:val="22"/>
          <w:szCs w:val="22"/>
        </w:rPr>
        <w:t xml:space="preserve">– </w:t>
      </w:r>
      <w:proofErr w:type="gramStart"/>
      <w:r w:rsidRPr="00B8634A">
        <w:rPr>
          <w:rFonts w:ascii="Times New Roman" w:hAnsi="Times New Roman" w:cs="Times New Roman"/>
          <w:bCs/>
          <w:sz w:val="22"/>
          <w:szCs w:val="22"/>
        </w:rPr>
        <w:t>којим</w:t>
      </w:r>
      <w:proofErr w:type="gramEnd"/>
      <w:r w:rsidRPr="00B8634A">
        <w:rPr>
          <w:rFonts w:ascii="Times New Roman" w:hAnsi="Times New Roman" w:cs="Times New Roman"/>
          <w:bCs/>
          <w:sz w:val="22"/>
          <w:szCs w:val="22"/>
        </w:rPr>
        <w:t xml:space="preserve"> се методама стиже до жељеног циља.</w:t>
      </w:r>
    </w:p>
    <w:p w:rsidR="00E65557" w:rsidRPr="00B8634A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B8634A">
        <w:rPr>
          <w:rFonts w:ascii="Times New Roman" w:hAnsi="Times New Roman" w:cs="Times New Roman"/>
          <w:bCs/>
          <w:sz w:val="22"/>
          <w:szCs w:val="22"/>
        </w:rPr>
        <w:t>Тражена средства би требало да буду приказана појединачно по економској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класификацији, а писано образложење треба да садржи и методологију каја се користи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приликом израчунавања трошкова.</w:t>
      </w:r>
      <w:proofErr w:type="gramEnd"/>
      <w:r w:rsidRPr="00B8634A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B8634A">
        <w:rPr>
          <w:rFonts w:ascii="Times New Roman" w:hAnsi="Times New Roman" w:cs="Times New Roman"/>
          <w:bCs/>
          <w:sz w:val="22"/>
          <w:szCs w:val="22"/>
        </w:rPr>
        <w:t>Писано образложење би такође требало да документује да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ли захтев представаља једнократни трошак или постоји потреба да се финансирање продужи,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као и изворе финансирања.</w:t>
      </w:r>
      <w:proofErr w:type="gramEnd"/>
    </w:p>
    <w:p w:rsidR="00E65557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</w:p>
    <w:p w:rsidR="00E65557" w:rsidRPr="00B8634A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B8634A">
        <w:rPr>
          <w:rFonts w:ascii="Times New Roman" w:hAnsi="Times New Roman" w:cs="Times New Roman"/>
          <w:bCs/>
          <w:sz w:val="22"/>
          <w:szCs w:val="22"/>
        </w:rPr>
        <w:t>Без детаљног писаног образложења и навођења правног основа за сваку врсту расхода,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као и извора средстава из додатних активности, неће се одобрити коришћење средстава из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додатних активности.</w:t>
      </w:r>
      <w:proofErr w:type="gramEnd"/>
    </w:p>
    <w:p w:rsidR="00E65557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  <w:proofErr w:type="gramStart"/>
      <w:r w:rsidRPr="00B8634A">
        <w:rPr>
          <w:rFonts w:ascii="Times New Roman" w:hAnsi="Times New Roman" w:cs="Times New Roman"/>
          <w:bCs/>
          <w:sz w:val="22"/>
          <w:szCs w:val="22"/>
        </w:rPr>
        <w:t>Уколико буџетски корисник извршава расходе у оквиру више функционалних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класификација, за сваку функцију посебно подноси захтев за додатна средства.</w:t>
      </w:r>
      <w:proofErr w:type="gramEnd"/>
    </w:p>
    <w:p w:rsidR="00E65557" w:rsidRPr="00C02C61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</w:p>
    <w:p w:rsidR="00E65557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  <w:lang w:val="sr-Cyrl-CS"/>
        </w:rPr>
      </w:pPr>
      <w:r w:rsidRPr="00C02C61">
        <w:rPr>
          <w:rFonts w:ascii="Times New Roman" w:hAnsi="Times New Roman" w:cs="Times New Roman"/>
          <w:b/>
          <w:bCs/>
          <w:sz w:val="22"/>
          <w:szCs w:val="22"/>
          <w:u w:val="single"/>
        </w:rPr>
        <w:t>4. Захтев за финансирање пројеката, програмских активности програма по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sr-Cyrl-CS"/>
        </w:rPr>
        <w:t xml:space="preserve"> </w:t>
      </w:r>
      <w:r w:rsidRPr="00C02C61">
        <w:rPr>
          <w:rFonts w:ascii="Times New Roman" w:hAnsi="Times New Roman" w:cs="Times New Roman"/>
          <w:b/>
          <w:bCs/>
          <w:sz w:val="22"/>
          <w:szCs w:val="22"/>
          <w:u w:val="single"/>
        </w:rPr>
        <w:t>„програмском моделу</w:t>
      </w:r>
      <w:proofErr w:type="gramStart"/>
      <w:r w:rsidRPr="00C02C61">
        <w:rPr>
          <w:rFonts w:ascii="Times New Roman" w:hAnsi="Times New Roman" w:cs="Times New Roman"/>
          <w:b/>
          <w:bCs/>
          <w:sz w:val="22"/>
          <w:szCs w:val="22"/>
          <w:u w:val="single"/>
        </w:rPr>
        <w:t>“ (</w:t>
      </w:r>
      <w:proofErr w:type="gramEnd"/>
      <w:r w:rsidRPr="00C02C6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табеле </w:t>
      </w:r>
      <w:r w:rsidR="00545F50">
        <w:rPr>
          <w:rFonts w:ascii="Times New Roman" w:hAnsi="Times New Roman" w:cs="Times New Roman"/>
          <w:b/>
          <w:bCs/>
          <w:sz w:val="22"/>
          <w:szCs w:val="22"/>
          <w:u w:val="single"/>
          <w:lang w:val="sr-Cyrl-CS"/>
        </w:rPr>
        <w:t>4</w:t>
      </w:r>
      <w:r w:rsidRPr="00C02C6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, </w:t>
      </w:r>
      <w:r w:rsidR="00545F50">
        <w:rPr>
          <w:rFonts w:ascii="Times New Roman" w:hAnsi="Times New Roman" w:cs="Times New Roman"/>
          <w:b/>
          <w:bCs/>
          <w:sz w:val="22"/>
          <w:szCs w:val="22"/>
          <w:u w:val="single"/>
          <w:lang w:val="sr-Cyrl-CS"/>
        </w:rPr>
        <w:t>4</w:t>
      </w:r>
      <w:r w:rsidRPr="00C02C6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а и </w:t>
      </w:r>
      <w:r w:rsidR="00545F50">
        <w:rPr>
          <w:rFonts w:ascii="Times New Roman" w:hAnsi="Times New Roman" w:cs="Times New Roman"/>
          <w:b/>
          <w:bCs/>
          <w:sz w:val="22"/>
          <w:szCs w:val="22"/>
          <w:u w:val="single"/>
          <w:lang w:val="sr-Cyrl-CS"/>
        </w:rPr>
        <w:t>4</w:t>
      </w:r>
      <w:r w:rsidRPr="00C02C61">
        <w:rPr>
          <w:rFonts w:ascii="Times New Roman" w:hAnsi="Times New Roman" w:cs="Times New Roman"/>
          <w:b/>
          <w:bCs/>
          <w:sz w:val="22"/>
          <w:szCs w:val="22"/>
          <w:u w:val="single"/>
        </w:rPr>
        <w:t>б)</w:t>
      </w:r>
    </w:p>
    <w:p w:rsidR="00E65557" w:rsidRPr="00C02C61" w:rsidRDefault="00E65557" w:rsidP="00E65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sr-Cyrl-CS"/>
        </w:rPr>
      </w:pPr>
    </w:p>
    <w:p w:rsidR="00E65557" w:rsidRPr="00B8634A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B8634A">
        <w:rPr>
          <w:rFonts w:ascii="Times New Roman" w:hAnsi="Times New Roman" w:cs="Times New Roman"/>
          <w:bCs/>
          <w:sz w:val="22"/>
          <w:szCs w:val="22"/>
        </w:rPr>
        <w:t>Упутство за израду програмског буџета објављено је на сајту Министарства финансија и у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њему је дато детаљно образложење методологије припреме пројеката, програмских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активности и програма, дефиниције основних појмова као и Анекс 5 - Униформни програми и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B8634A">
        <w:rPr>
          <w:rFonts w:ascii="Times New Roman" w:hAnsi="Times New Roman" w:cs="Times New Roman"/>
          <w:bCs/>
          <w:sz w:val="22"/>
          <w:szCs w:val="22"/>
        </w:rPr>
        <w:t>програмске активности јединица локалне самоуправе.</w:t>
      </w:r>
      <w:proofErr w:type="gramEnd"/>
    </w:p>
    <w:p w:rsidR="00E65557" w:rsidRPr="00031CD2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031CD2">
        <w:rPr>
          <w:rFonts w:ascii="Times New Roman" w:hAnsi="Times New Roman" w:cs="Times New Roman"/>
          <w:bCs/>
          <w:sz w:val="22"/>
          <w:szCs w:val="22"/>
        </w:rPr>
        <w:t xml:space="preserve">Пo пoтрeби, JЛС утврђују дoдaтнe прojeктe 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– у оквиру дефинисаних програма односно програмских активности, </w:t>
      </w:r>
      <w:r w:rsidRPr="00031CD2">
        <w:rPr>
          <w:rFonts w:ascii="Times New Roman" w:hAnsi="Times New Roman" w:cs="Times New Roman"/>
          <w:bCs/>
          <w:sz w:val="22"/>
          <w:szCs w:val="22"/>
        </w:rPr>
        <w:t>у склaду сa свojим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031CD2">
        <w:rPr>
          <w:rFonts w:ascii="Times New Roman" w:hAnsi="Times New Roman" w:cs="Times New Roman"/>
          <w:bCs/>
          <w:sz w:val="22"/>
          <w:szCs w:val="22"/>
        </w:rPr>
        <w:t>спeцифичним надлежностима и својим стрaтeшким плaнoвимa и циљeвимa.</w:t>
      </w:r>
      <w:proofErr w:type="gramEnd"/>
    </w:p>
    <w:p w:rsidR="00E60588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  <w:proofErr w:type="gramStart"/>
      <w:r w:rsidRPr="00031CD2">
        <w:rPr>
          <w:rFonts w:ascii="Times New Roman" w:hAnsi="Times New Roman" w:cs="Times New Roman"/>
          <w:bCs/>
          <w:sz w:val="22"/>
          <w:szCs w:val="22"/>
        </w:rPr>
        <w:lastRenderedPageBreak/>
        <w:t>СКГO је утврдила и нaкнaднo дoстaвила листу унифoрмних индикатора које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031CD2">
        <w:rPr>
          <w:rFonts w:ascii="Times New Roman" w:hAnsi="Times New Roman" w:cs="Times New Roman"/>
          <w:bCs/>
          <w:sz w:val="22"/>
          <w:szCs w:val="22"/>
        </w:rPr>
        <w:t>достављамо у прилогу овог упутства.</w:t>
      </w:r>
      <w:proofErr w:type="gramEnd"/>
      <w:r w:rsidRPr="00031CD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031CD2">
        <w:rPr>
          <w:rFonts w:ascii="Times New Roman" w:hAnsi="Times New Roman" w:cs="Times New Roman"/>
          <w:bCs/>
          <w:sz w:val="22"/>
          <w:szCs w:val="22"/>
        </w:rPr>
        <w:t>Применом ових индикатора пружају се подаци о општим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031CD2">
        <w:rPr>
          <w:rFonts w:ascii="Times New Roman" w:hAnsi="Times New Roman" w:cs="Times New Roman"/>
          <w:bCs/>
          <w:sz w:val="22"/>
          <w:szCs w:val="22"/>
        </w:rPr>
        <w:t>достигнућима униформних прoгрaма и прoгрaмских aктивнoсти, као и статистички подаци из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031CD2">
        <w:rPr>
          <w:rFonts w:ascii="Times New Roman" w:hAnsi="Times New Roman" w:cs="Times New Roman"/>
          <w:bCs/>
          <w:sz w:val="22"/>
          <w:szCs w:val="22"/>
        </w:rPr>
        <w:t>домена униформних прoгрaма и прoгрaмских aктивнoсти.</w:t>
      </w:r>
      <w:proofErr w:type="gramEnd"/>
      <w:r w:rsidRPr="00031CD2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E65557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  <w:proofErr w:type="gramStart"/>
      <w:r w:rsidRPr="00031CD2">
        <w:rPr>
          <w:rFonts w:ascii="Times New Roman" w:hAnsi="Times New Roman" w:cs="Times New Roman"/>
          <w:bCs/>
          <w:sz w:val="22"/>
          <w:szCs w:val="22"/>
        </w:rPr>
        <w:t xml:space="preserve">Унифoрмност прoгрaмa и прoгрaмских aктивнoсти и индикатора oбeзбeђуje да </w:t>
      </w:r>
      <w:r w:rsidR="00E60588">
        <w:rPr>
          <w:rFonts w:ascii="Times New Roman" w:hAnsi="Times New Roman" w:cs="Times New Roman"/>
          <w:bCs/>
          <w:sz w:val="22"/>
          <w:szCs w:val="22"/>
          <w:lang w:val="sr-Cyrl-CS"/>
        </w:rPr>
        <w:t>јединице локалне самоуправе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031CD2">
        <w:rPr>
          <w:rFonts w:ascii="Times New Roman" w:hAnsi="Times New Roman" w:cs="Times New Roman"/>
          <w:bCs/>
          <w:sz w:val="22"/>
          <w:szCs w:val="22"/>
        </w:rPr>
        <w:t>међусобно упoрeде трошкове и квaлитeт услугa пружeних грaђaнимa у оквиру тих прoгрaмa и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031CD2">
        <w:rPr>
          <w:rFonts w:ascii="Times New Roman" w:hAnsi="Times New Roman" w:cs="Times New Roman"/>
          <w:bCs/>
          <w:sz w:val="22"/>
          <w:szCs w:val="22"/>
        </w:rPr>
        <w:t>прoгрaмских aктивнoсти.</w:t>
      </w:r>
      <w:proofErr w:type="gramEnd"/>
      <w:r w:rsidRPr="00031CD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031CD2">
        <w:rPr>
          <w:rFonts w:ascii="Times New Roman" w:hAnsi="Times New Roman" w:cs="Times New Roman"/>
          <w:bCs/>
          <w:sz w:val="22"/>
          <w:szCs w:val="22"/>
        </w:rPr>
        <w:t>Taкoђe, та унифoрмност прoгрaмa и прoгрaмских aктивнoсти и њихова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031CD2">
        <w:rPr>
          <w:rFonts w:ascii="Times New Roman" w:hAnsi="Times New Roman" w:cs="Times New Roman"/>
          <w:bCs/>
          <w:sz w:val="22"/>
          <w:szCs w:val="22"/>
        </w:rPr>
        <w:t>усклађеност сa сeктoримa и прoгрaмимa нa цeнтрaлнoм нивoу, oмoгућуje да се спроведе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031CD2">
        <w:rPr>
          <w:rFonts w:ascii="Times New Roman" w:hAnsi="Times New Roman" w:cs="Times New Roman"/>
          <w:bCs/>
          <w:sz w:val="22"/>
          <w:szCs w:val="22"/>
        </w:rPr>
        <w:t>финaнсиjска aнaлиза и прaте aктивнoсти кoрисникa буџета у oдрeђeним oблaстима нa свим</w:t>
      </w:r>
      <w:r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031CD2">
        <w:rPr>
          <w:rFonts w:ascii="Times New Roman" w:hAnsi="Times New Roman" w:cs="Times New Roman"/>
          <w:bCs/>
          <w:sz w:val="22"/>
          <w:szCs w:val="22"/>
        </w:rPr>
        <w:t>нивoимa влaсти.</w:t>
      </w:r>
      <w:proofErr w:type="gramEnd"/>
    </w:p>
    <w:p w:rsidR="00E65557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21CD4" w:rsidRPr="00C21CD4" w:rsidRDefault="00C21CD4" w:rsidP="00C21CD4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21CD4">
        <w:rPr>
          <w:rFonts w:ascii="Times New Roman" w:hAnsi="Times New Roman" w:cs="Times New Roman"/>
          <w:sz w:val="22"/>
          <w:szCs w:val="22"/>
          <w:lang w:val="sr-Cyrl-CS"/>
        </w:rPr>
        <w:t xml:space="preserve">Препоручује се свим буџетским корисницима, </w:t>
      </w:r>
      <w:r>
        <w:rPr>
          <w:rFonts w:ascii="Times New Roman" w:hAnsi="Times New Roman" w:cs="Times New Roman"/>
          <w:sz w:val="22"/>
          <w:szCs w:val="22"/>
          <w:lang w:val="sr-Cyrl-CS"/>
        </w:rPr>
        <w:t>у циљу редуковања физичког обима поднете документације</w:t>
      </w:r>
      <w:r w:rsidRPr="00C21CD4">
        <w:rPr>
          <w:rFonts w:ascii="Times New Roman" w:hAnsi="Times New Roman" w:cs="Times New Roman"/>
          <w:sz w:val="22"/>
          <w:szCs w:val="22"/>
          <w:lang w:val="sr-Cyrl-CS"/>
        </w:rPr>
        <w:t>, да приликом попуњавања прописаних образаца</w:t>
      </w:r>
      <w:r w:rsidRPr="00C21CD4">
        <w:rPr>
          <w:rFonts w:ascii="Times New Roman" w:hAnsi="Times New Roman" w:cs="Times New Roman"/>
          <w:sz w:val="22"/>
          <w:szCs w:val="22"/>
          <w:lang w:val="sr-Latn-CS"/>
        </w:rPr>
        <w:t>,</w:t>
      </w:r>
      <w:r w:rsidRPr="00C21CD4">
        <w:rPr>
          <w:rFonts w:ascii="Times New Roman" w:hAnsi="Times New Roman" w:cs="Times New Roman"/>
          <w:sz w:val="22"/>
          <w:szCs w:val="22"/>
          <w:lang w:val="sr-Cyrl-CS"/>
        </w:rPr>
        <w:t xml:space="preserve"> редове са контима која остају празна уклоне опцијом „</w:t>
      </w:r>
      <w:r w:rsidRPr="00C21CD4">
        <w:rPr>
          <w:rFonts w:ascii="Times New Roman" w:hAnsi="Times New Roman" w:cs="Times New Roman"/>
          <w:sz w:val="22"/>
          <w:szCs w:val="22"/>
        </w:rPr>
        <w:t xml:space="preserve">Hide”. За све додатне информације и техничку помоћ око попуњавања прописаних образаца у електронској форми можете се обратити на телефон 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Одељења за финансије и привреду Општинске управе Владичин Хан </w:t>
      </w:r>
      <w:r w:rsidRPr="00C21CD4">
        <w:rPr>
          <w:rFonts w:ascii="Times New Roman" w:hAnsi="Times New Roman" w:cs="Times New Roman"/>
          <w:sz w:val="22"/>
          <w:szCs w:val="22"/>
        </w:rPr>
        <w:t>017/4</w:t>
      </w:r>
      <w:r>
        <w:rPr>
          <w:rFonts w:ascii="Times New Roman" w:hAnsi="Times New Roman" w:cs="Times New Roman"/>
          <w:sz w:val="22"/>
          <w:szCs w:val="22"/>
          <w:lang w:val="sr-Cyrl-CS"/>
        </w:rPr>
        <w:t>73</w:t>
      </w:r>
      <w:r w:rsidRPr="00C21CD4">
        <w:rPr>
          <w:rFonts w:ascii="Times New Roman" w:hAnsi="Times New Roman" w:cs="Times New Roman"/>
          <w:sz w:val="22"/>
          <w:szCs w:val="22"/>
        </w:rPr>
        <w:t>-</w:t>
      </w:r>
      <w:proofErr w:type="gramStart"/>
      <w:r>
        <w:rPr>
          <w:rFonts w:ascii="Times New Roman" w:hAnsi="Times New Roman" w:cs="Times New Roman"/>
          <w:sz w:val="22"/>
          <w:szCs w:val="22"/>
          <w:lang w:val="sr-Cyrl-CS"/>
        </w:rPr>
        <w:t>500  или</w:t>
      </w:r>
      <w:proofErr w:type="gramEnd"/>
      <w:r>
        <w:rPr>
          <w:rFonts w:ascii="Times New Roman" w:hAnsi="Times New Roman" w:cs="Times New Roman"/>
          <w:sz w:val="22"/>
          <w:szCs w:val="22"/>
          <w:lang w:val="sr-Cyrl-CS"/>
        </w:rPr>
        <w:t xml:space="preserve"> у канцеларију број 12 на другом спрату зграде Општинске управе</w:t>
      </w:r>
      <w:r w:rsidRPr="00C21CD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C21CD4" w:rsidRPr="00C21CD4" w:rsidRDefault="00C21CD4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E65557" w:rsidRDefault="00E65557" w:rsidP="00E6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E65557" w:rsidRPr="00517164" w:rsidRDefault="00E65557" w:rsidP="00E655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  <w:r w:rsidRPr="0068465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17164">
        <w:rPr>
          <w:rFonts w:ascii="Times New Roman" w:hAnsi="Times New Roman" w:cs="Times New Roman"/>
          <w:b/>
          <w:bCs/>
          <w:sz w:val="22"/>
          <w:szCs w:val="22"/>
        </w:rPr>
        <w:t xml:space="preserve">ПОСТУПАК И ДИНАМИКА ПРИПРЕМЕ БУЏЕТА </w:t>
      </w:r>
      <w:r w:rsidRPr="00517164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ОПШТИНЕ</w:t>
      </w:r>
      <w:r w:rsidRPr="00517164">
        <w:rPr>
          <w:rFonts w:ascii="Times New Roman" w:hAnsi="Times New Roman" w:cs="Times New Roman"/>
          <w:b/>
          <w:bCs/>
          <w:sz w:val="22"/>
          <w:szCs w:val="22"/>
        </w:rPr>
        <w:t xml:space="preserve"> ЗА 201</w:t>
      </w:r>
      <w:r w:rsidR="00556AC2" w:rsidRPr="00517164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6</w:t>
      </w:r>
      <w:r w:rsidRPr="00517164">
        <w:rPr>
          <w:rFonts w:ascii="Times New Roman" w:hAnsi="Times New Roman" w:cs="Times New Roman"/>
          <w:b/>
          <w:bCs/>
          <w:sz w:val="22"/>
          <w:szCs w:val="22"/>
        </w:rPr>
        <w:t>. ГОДИНУ И ПРЕДЛОГА</w:t>
      </w:r>
      <w:r w:rsidRPr="00517164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</w:t>
      </w:r>
      <w:r w:rsidRPr="00517164">
        <w:rPr>
          <w:rFonts w:ascii="Times New Roman" w:hAnsi="Times New Roman" w:cs="Times New Roman"/>
          <w:b/>
          <w:bCs/>
          <w:sz w:val="22"/>
          <w:szCs w:val="22"/>
        </w:rPr>
        <w:t>ФИНАНСИЈСКИХ ПЛАНОВА ДИРЕКТНИХ КОРИСНИКА</w:t>
      </w:r>
    </w:p>
    <w:p w:rsidR="00E65557" w:rsidRPr="00517164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</w:p>
    <w:p w:rsidR="00E65557" w:rsidRPr="00517164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17164">
        <w:rPr>
          <w:rFonts w:ascii="Times New Roman" w:hAnsi="Times New Roman" w:cs="Times New Roman"/>
          <w:bCs/>
          <w:sz w:val="22"/>
          <w:szCs w:val="22"/>
        </w:rPr>
        <w:t>Припрема и доношење буџета јединица локалне самоуправе дефинисана је чланом 31.</w:t>
      </w:r>
      <w:proofErr w:type="gramEnd"/>
      <w:r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7164">
        <w:rPr>
          <w:rFonts w:ascii="Times New Roman" w:hAnsi="Times New Roman" w:cs="Times New Roman"/>
          <w:bCs/>
          <w:sz w:val="22"/>
          <w:szCs w:val="22"/>
        </w:rPr>
        <w:t xml:space="preserve">Закона о буџетском </w:t>
      </w:r>
      <w:proofErr w:type="gramStart"/>
      <w:r w:rsidRPr="00517164">
        <w:rPr>
          <w:rFonts w:ascii="Times New Roman" w:hAnsi="Times New Roman" w:cs="Times New Roman"/>
          <w:bCs/>
          <w:sz w:val="22"/>
          <w:szCs w:val="22"/>
        </w:rPr>
        <w:t>систему :</w:t>
      </w:r>
      <w:proofErr w:type="gramEnd"/>
    </w:p>
    <w:p w:rsidR="00E65557" w:rsidRPr="00517164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7164">
        <w:rPr>
          <w:rFonts w:ascii="Times New Roman" w:hAnsi="Times New Roman" w:cs="Times New Roman"/>
          <w:bCs/>
          <w:sz w:val="22"/>
          <w:szCs w:val="22"/>
        </w:rPr>
        <w:t xml:space="preserve">5. </w:t>
      </w:r>
      <w:proofErr w:type="gramStart"/>
      <w:r w:rsidRPr="00517164">
        <w:rPr>
          <w:rFonts w:ascii="Times New Roman" w:hAnsi="Times New Roman" w:cs="Times New Roman"/>
          <w:bCs/>
          <w:sz w:val="22"/>
          <w:szCs w:val="22"/>
        </w:rPr>
        <w:t>јул</w:t>
      </w:r>
      <w:proofErr w:type="gramEnd"/>
      <w:r w:rsidRPr="00517164">
        <w:rPr>
          <w:rFonts w:ascii="Times New Roman" w:hAnsi="Times New Roman" w:cs="Times New Roman"/>
          <w:bCs/>
          <w:sz w:val="22"/>
          <w:szCs w:val="22"/>
        </w:rPr>
        <w:t xml:space="preserve"> – министар доставља упутство за припрему одлуке о буџету локалној власти</w:t>
      </w:r>
    </w:p>
    <w:p w:rsidR="00E65557" w:rsidRPr="00517164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7164">
        <w:rPr>
          <w:rFonts w:ascii="Times New Roman" w:hAnsi="Times New Roman" w:cs="Times New Roman"/>
          <w:bCs/>
          <w:sz w:val="22"/>
          <w:szCs w:val="22"/>
        </w:rPr>
        <w:t xml:space="preserve">01. </w:t>
      </w:r>
      <w:proofErr w:type="gramStart"/>
      <w:r w:rsidRPr="00517164">
        <w:rPr>
          <w:rFonts w:ascii="Times New Roman" w:hAnsi="Times New Roman" w:cs="Times New Roman"/>
          <w:bCs/>
          <w:sz w:val="22"/>
          <w:szCs w:val="22"/>
        </w:rPr>
        <w:t>август</w:t>
      </w:r>
      <w:proofErr w:type="gramEnd"/>
      <w:r w:rsidRPr="00517164">
        <w:rPr>
          <w:rFonts w:ascii="Times New Roman" w:hAnsi="Times New Roman" w:cs="Times New Roman"/>
          <w:bCs/>
          <w:sz w:val="22"/>
          <w:szCs w:val="22"/>
        </w:rPr>
        <w:t xml:space="preserve"> – локални орган управе надлежан за финансије доставља упутство за припрему</w:t>
      </w:r>
      <w:r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7164">
        <w:rPr>
          <w:rFonts w:ascii="Times New Roman" w:hAnsi="Times New Roman" w:cs="Times New Roman"/>
          <w:bCs/>
          <w:sz w:val="22"/>
          <w:szCs w:val="22"/>
        </w:rPr>
        <w:t>буџета локалне власти,</w:t>
      </w:r>
    </w:p>
    <w:p w:rsidR="00E65557" w:rsidRPr="00517164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7164">
        <w:rPr>
          <w:rFonts w:ascii="Times New Roman" w:hAnsi="Times New Roman" w:cs="Times New Roman"/>
          <w:bCs/>
          <w:sz w:val="22"/>
          <w:szCs w:val="22"/>
        </w:rPr>
        <w:t xml:space="preserve">01. </w:t>
      </w:r>
      <w:proofErr w:type="gramStart"/>
      <w:r w:rsidRPr="00517164">
        <w:rPr>
          <w:rFonts w:ascii="Times New Roman" w:hAnsi="Times New Roman" w:cs="Times New Roman"/>
          <w:bCs/>
          <w:sz w:val="22"/>
          <w:szCs w:val="22"/>
        </w:rPr>
        <w:t>септембар</w:t>
      </w:r>
      <w:proofErr w:type="gramEnd"/>
      <w:r w:rsidRPr="00517164">
        <w:rPr>
          <w:rFonts w:ascii="Times New Roman" w:hAnsi="Times New Roman" w:cs="Times New Roman"/>
          <w:bCs/>
          <w:sz w:val="22"/>
          <w:szCs w:val="22"/>
        </w:rPr>
        <w:t xml:space="preserve"> – директни корисници средстава буџета локалне власти достављају предлог</w:t>
      </w:r>
      <w:r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7164">
        <w:rPr>
          <w:rFonts w:ascii="Times New Roman" w:hAnsi="Times New Roman" w:cs="Times New Roman"/>
          <w:bCs/>
          <w:sz w:val="22"/>
          <w:szCs w:val="22"/>
        </w:rPr>
        <w:t>финансијског плана локалном органу управе надлежном за финансије за буџетску и наредне</w:t>
      </w:r>
      <w:r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7164">
        <w:rPr>
          <w:rFonts w:ascii="Times New Roman" w:hAnsi="Times New Roman" w:cs="Times New Roman"/>
          <w:bCs/>
          <w:sz w:val="22"/>
          <w:szCs w:val="22"/>
        </w:rPr>
        <w:t>две фискалне године,</w:t>
      </w:r>
    </w:p>
    <w:p w:rsidR="00E65557" w:rsidRPr="00517164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7164">
        <w:rPr>
          <w:rFonts w:ascii="Times New Roman" w:hAnsi="Times New Roman" w:cs="Times New Roman"/>
          <w:bCs/>
          <w:sz w:val="22"/>
          <w:szCs w:val="22"/>
        </w:rPr>
        <w:t xml:space="preserve">15. </w:t>
      </w:r>
      <w:proofErr w:type="gramStart"/>
      <w:r w:rsidRPr="00517164">
        <w:rPr>
          <w:rFonts w:ascii="Times New Roman" w:hAnsi="Times New Roman" w:cs="Times New Roman"/>
          <w:bCs/>
          <w:sz w:val="22"/>
          <w:szCs w:val="22"/>
        </w:rPr>
        <w:t>октобар</w:t>
      </w:r>
      <w:proofErr w:type="gramEnd"/>
      <w:r w:rsidRPr="00517164">
        <w:rPr>
          <w:rFonts w:ascii="Times New Roman" w:hAnsi="Times New Roman" w:cs="Times New Roman"/>
          <w:bCs/>
          <w:sz w:val="22"/>
          <w:szCs w:val="22"/>
        </w:rPr>
        <w:t xml:space="preserve"> - локални орган управе надлежни за финансије доставља нацрт одлуке о буџету</w:t>
      </w:r>
      <w:r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7164">
        <w:rPr>
          <w:rFonts w:ascii="Times New Roman" w:hAnsi="Times New Roman" w:cs="Times New Roman"/>
          <w:bCs/>
          <w:sz w:val="22"/>
          <w:szCs w:val="22"/>
        </w:rPr>
        <w:t>надлежном извршном органу локалне власти,</w:t>
      </w:r>
    </w:p>
    <w:p w:rsidR="00E65557" w:rsidRPr="00517164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7164">
        <w:rPr>
          <w:rFonts w:ascii="Times New Roman" w:hAnsi="Times New Roman" w:cs="Times New Roman"/>
          <w:bCs/>
          <w:sz w:val="22"/>
          <w:szCs w:val="22"/>
        </w:rPr>
        <w:t xml:space="preserve">1. </w:t>
      </w:r>
      <w:proofErr w:type="gramStart"/>
      <w:r w:rsidRPr="00517164">
        <w:rPr>
          <w:rFonts w:ascii="Times New Roman" w:hAnsi="Times New Roman" w:cs="Times New Roman"/>
          <w:bCs/>
          <w:sz w:val="22"/>
          <w:szCs w:val="22"/>
        </w:rPr>
        <w:t>новембар</w:t>
      </w:r>
      <w:proofErr w:type="gramEnd"/>
      <w:r w:rsidRPr="00517164">
        <w:rPr>
          <w:rFonts w:ascii="Times New Roman" w:hAnsi="Times New Roman" w:cs="Times New Roman"/>
          <w:bCs/>
          <w:sz w:val="22"/>
          <w:szCs w:val="22"/>
        </w:rPr>
        <w:t xml:space="preserve"> - надлежни извршни орган локалне власти доставља предлог одлуке о буџету</w:t>
      </w:r>
      <w:r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7164">
        <w:rPr>
          <w:rFonts w:ascii="Times New Roman" w:hAnsi="Times New Roman" w:cs="Times New Roman"/>
          <w:bCs/>
          <w:sz w:val="22"/>
          <w:szCs w:val="22"/>
        </w:rPr>
        <w:t>скупштини локалне власти,</w:t>
      </w:r>
    </w:p>
    <w:p w:rsidR="00E65557" w:rsidRPr="00517164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7164">
        <w:rPr>
          <w:rFonts w:ascii="Times New Roman" w:hAnsi="Times New Roman" w:cs="Times New Roman"/>
          <w:bCs/>
          <w:sz w:val="22"/>
          <w:szCs w:val="22"/>
        </w:rPr>
        <w:t xml:space="preserve">20. </w:t>
      </w:r>
      <w:proofErr w:type="gramStart"/>
      <w:r w:rsidRPr="00517164">
        <w:rPr>
          <w:rFonts w:ascii="Times New Roman" w:hAnsi="Times New Roman" w:cs="Times New Roman"/>
          <w:bCs/>
          <w:sz w:val="22"/>
          <w:szCs w:val="22"/>
        </w:rPr>
        <w:t>децембар</w:t>
      </w:r>
      <w:proofErr w:type="gramEnd"/>
      <w:r w:rsidRPr="00517164">
        <w:rPr>
          <w:rFonts w:ascii="Times New Roman" w:hAnsi="Times New Roman" w:cs="Times New Roman"/>
          <w:bCs/>
          <w:sz w:val="22"/>
          <w:szCs w:val="22"/>
        </w:rPr>
        <w:t xml:space="preserve"> - скупштина локалне власти доноси одлуку о буџету локалне власти и</w:t>
      </w:r>
    </w:p>
    <w:p w:rsidR="00E65557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  <w:r w:rsidRPr="00517164">
        <w:rPr>
          <w:rFonts w:ascii="Times New Roman" w:hAnsi="Times New Roman" w:cs="Times New Roman"/>
          <w:bCs/>
          <w:sz w:val="22"/>
          <w:szCs w:val="22"/>
        </w:rPr>
        <w:t xml:space="preserve">25. </w:t>
      </w:r>
      <w:proofErr w:type="gramStart"/>
      <w:r w:rsidRPr="00517164">
        <w:rPr>
          <w:rFonts w:ascii="Times New Roman" w:hAnsi="Times New Roman" w:cs="Times New Roman"/>
          <w:bCs/>
          <w:sz w:val="22"/>
          <w:szCs w:val="22"/>
        </w:rPr>
        <w:t>децембар</w:t>
      </w:r>
      <w:proofErr w:type="gramEnd"/>
      <w:r w:rsidRPr="00517164">
        <w:rPr>
          <w:rFonts w:ascii="Times New Roman" w:hAnsi="Times New Roman" w:cs="Times New Roman"/>
          <w:bCs/>
          <w:sz w:val="22"/>
          <w:szCs w:val="22"/>
        </w:rPr>
        <w:t xml:space="preserve"> – локални орган управе надлежан за финансије доставља министру одлуку о</w:t>
      </w:r>
      <w:r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7164">
        <w:rPr>
          <w:rFonts w:ascii="Times New Roman" w:hAnsi="Times New Roman" w:cs="Times New Roman"/>
          <w:bCs/>
          <w:sz w:val="22"/>
          <w:szCs w:val="22"/>
        </w:rPr>
        <w:t>буџету</w:t>
      </w:r>
      <w:r w:rsidRPr="00487555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E65557" w:rsidRPr="00487555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</w:p>
    <w:p w:rsidR="00E65557" w:rsidRPr="00517164" w:rsidRDefault="00E65557" w:rsidP="00E65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17164">
        <w:rPr>
          <w:rFonts w:ascii="Times New Roman" w:hAnsi="Times New Roman" w:cs="Times New Roman"/>
          <w:b/>
          <w:bCs/>
          <w:sz w:val="22"/>
          <w:szCs w:val="22"/>
        </w:rPr>
        <w:t>VIII ЗАВРШНЕ ОДРЕДБЕ</w:t>
      </w:r>
    </w:p>
    <w:p w:rsidR="00E65557" w:rsidRPr="00517164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17164">
        <w:rPr>
          <w:rFonts w:ascii="Times New Roman" w:hAnsi="Times New Roman" w:cs="Times New Roman"/>
          <w:bCs/>
          <w:sz w:val="22"/>
          <w:szCs w:val="22"/>
        </w:rPr>
        <w:t xml:space="preserve">Сви буџетски корисници </w:t>
      </w:r>
      <w:r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>Општине Владичин Хан</w:t>
      </w:r>
      <w:r w:rsidRPr="00517164">
        <w:rPr>
          <w:rFonts w:ascii="Times New Roman" w:hAnsi="Times New Roman" w:cs="Times New Roman"/>
          <w:bCs/>
          <w:sz w:val="22"/>
          <w:szCs w:val="22"/>
        </w:rPr>
        <w:t>, имају обавезу да</w:t>
      </w:r>
      <w:r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7164">
        <w:rPr>
          <w:rFonts w:ascii="Times New Roman" w:hAnsi="Times New Roman" w:cs="Times New Roman"/>
          <w:bCs/>
          <w:sz w:val="22"/>
          <w:szCs w:val="22"/>
        </w:rPr>
        <w:t>планирају средства за потрошњу у складу са својим надлежностима, тј.</w:t>
      </w:r>
      <w:proofErr w:type="gramEnd"/>
      <w:r w:rsidRPr="00517164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517164">
        <w:rPr>
          <w:rFonts w:ascii="Times New Roman" w:hAnsi="Times New Roman" w:cs="Times New Roman"/>
          <w:bCs/>
          <w:sz w:val="22"/>
          <w:szCs w:val="22"/>
        </w:rPr>
        <w:t>делокругом</w:t>
      </w:r>
      <w:proofErr w:type="gramEnd"/>
      <w:r w:rsidRPr="00517164">
        <w:rPr>
          <w:rFonts w:ascii="Times New Roman" w:hAnsi="Times New Roman" w:cs="Times New Roman"/>
          <w:bCs/>
          <w:sz w:val="22"/>
          <w:szCs w:val="22"/>
        </w:rPr>
        <w:t xml:space="preserve"> својих</w:t>
      </w:r>
      <w:r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7164">
        <w:rPr>
          <w:rFonts w:ascii="Times New Roman" w:hAnsi="Times New Roman" w:cs="Times New Roman"/>
          <w:bCs/>
          <w:sz w:val="22"/>
          <w:szCs w:val="22"/>
        </w:rPr>
        <w:t xml:space="preserve">активности које су прописане законским одредбама из њихове надлежности. </w:t>
      </w:r>
      <w:proofErr w:type="gramStart"/>
      <w:r w:rsidRPr="00517164">
        <w:rPr>
          <w:rFonts w:ascii="Times New Roman" w:hAnsi="Times New Roman" w:cs="Times New Roman"/>
          <w:bCs/>
          <w:sz w:val="22"/>
          <w:szCs w:val="22"/>
        </w:rPr>
        <w:t>Исто тако, сви</w:t>
      </w:r>
      <w:r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7164">
        <w:rPr>
          <w:rFonts w:ascii="Times New Roman" w:hAnsi="Times New Roman" w:cs="Times New Roman"/>
          <w:bCs/>
          <w:sz w:val="22"/>
          <w:szCs w:val="22"/>
        </w:rPr>
        <w:t>буџетски корисници, који имају планиране донације, у својим буџетским захтевима требају да</w:t>
      </w:r>
      <w:r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7164">
        <w:rPr>
          <w:rFonts w:ascii="Times New Roman" w:hAnsi="Times New Roman" w:cs="Times New Roman"/>
          <w:bCs/>
          <w:sz w:val="22"/>
          <w:szCs w:val="22"/>
        </w:rPr>
        <w:t>наведу законску и другу регулативу на основу које планирају исте, те да образложе њихову</w:t>
      </w:r>
      <w:r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7164">
        <w:rPr>
          <w:rFonts w:ascii="Times New Roman" w:hAnsi="Times New Roman" w:cs="Times New Roman"/>
          <w:bCs/>
          <w:sz w:val="22"/>
          <w:szCs w:val="22"/>
        </w:rPr>
        <w:t>намену.</w:t>
      </w:r>
      <w:proofErr w:type="gramEnd"/>
    </w:p>
    <w:p w:rsidR="00E65557" w:rsidRPr="00517164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17164">
        <w:rPr>
          <w:rFonts w:ascii="Times New Roman" w:hAnsi="Times New Roman" w:cs="Times New Roman"/>
          <w:bCs/>
          <w:sz w:val="22"/>
          <w:szCs w:val="22"/>
        </w:rPr>
        <w:t>Приликом планирања буџетских расхода и издатака за наредну годину неопходно би</w:t>
      </w:r>
      <w:r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7164">
        <w:rPr>
          <w:rFonts w:ascii="Times New Roman" w:hAnsi="Times New Roman" w:cs="Times New Roman"/>
          <w:bCs/>
          <w:sz w:val="22"/>
          <w:szCs w:val="22"/>
        </w:rPr>
        <w:t>било планирати посебне буџетске ставке у циљу планирања наменског трошења средстава из</w:t>
      </w:r>
      <w:r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7164">
        <w:rPr>
          <w:rFonts w:ascii="Times New Roman" w:hAnsi="Times New Roman" w:cs="Times New Roman"/>
          <w:bCs/>
          <w:sz w:val="22"/>
          <w:szCs w:val="22"/>
        </w:rPr>
        <w:t>прихода који се остварују по посебним прописима.</w:t>
      </w:r>
      <w:proofErr w:type="gramEnd"/>
      <w:r w:rsidRPr="00517164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517164">
        <w:rPr>
          <w:rFonts w:ascii="Times New Roman" w:hAnsi="Times New Roman" w:cs="Times New Roman"/>
          <w:bCs/>
          <w:sz w:val="22"/>
          <w:szCs w:val="22"/>
        </w:rPr>
        <w:t>Уколико законске одредбе то предвиђају,</w:t>
      </w:r>
      <w:r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7164">
        <w:rPr>
          <w:rFonts w:ascii="Times New Roman" w:hAnsi="Times New Roman" w:cs="Times New Roman"/>
          <w:bCs/>
          <w:sz w:val="22"/>
          <w:szCs w:val="22"/>
        </w:rPr>
        <w:t>потребно је усвојити посебне програме за трошење ових средстава.</w:t>
      </w:r>
      <w:proofErr w:type="gramEnd"/>
    </w:p>
    <w:p w:rsidR="00E65557" w:rsidRPr="00517164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7164">
        <w:rPr>
          <w:rFonts w:ascii="Times New Roman" w:hAnsi="Times New Roman" w:cs="Times New Roman"/>
          <w:bCs/>
          <w:sz w:val="22"/>
          <w:szCs w:val="22"/>
        </w:rPr>
        <w:t>Приходи који се остварују по посебним прописима су:</w:t>
      </w:r>
    </w:p>
    <w:p w:rsidR="00E65557" w:rsidRPr="00517164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7164">
        <w:rPr>
          <w:rFonts w:ascii="Times New Roman" w:hAnsi="Times New Roman" w:cs="Times New Roman"/>
          <w:bCs/>
          <w:sz w:val="22"/>
          <w:szCs w:val="22"/>
        </w:rPr>
        <w:t xml:space="preserve">-накнaда за промену намене пољопривредног </w:t>
      </w:r>
      <w:proofErr w:type="gramStart"/>
      <w:r w:rsidRPr="00517164">
        <w:rPr>
          <w:rFonts w:ascii="Times New Roman" w:hAnsi="Times New Roman" w:cs="Times New Roman"/>
          <w:bCs/>
          <w:sz w:val="22"/>
          <w:szCs w:val="22"/>
        </w:rPr>
        <w:t>земљишта ;</w:t>
      </w:r>
      <w:proofErr w:type="gramEnd"/>
    </w:p>
    <w:p w:rsidR="00E65557" w:rsidRPr="00517164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7164">
        <w:rPr>
          <w:rFonts w:ascii="Times New Roman" w:hAnsi="Times New Roman" w:cs="Times New Roman"/>
          <w:bCs/>
          <w:sz w:val="22"/>
          <w:szCs w:val="22"/>
        </w:rPr>
        <w:t xml:space="preserve">-накнада за коришћење шума и шумског </w:t>
      </w:r>
      <w:proofErr w:type="gramStart"/>
      <w:r w:rsidRPr="00517164">
        <w:rPr>
          <w:rFonts w:ascii="Times New Roman" w:hAnsi="Times New Roman" w:cs="Times New Roman"/>
          <w:bCs/>
          <w:sz w:val="22"/>
          <w:szCs w:val="22"/>
        </w:rPr>
        <w:t>земљишта ;</w:t>
      </w:r>
      <w:proofErr w:type="gramEnd"/>
    </w:p>
    <w:p w:rsidR="00E65557" w:rsidRPr="00517164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7164">
        <w:rPr>
          <w:rFonts w:ascii="Times New Roman" w:hAnsi="Times New Roman" w:cs="Times New Roman"/>
          <w:bCs/>
          <w:sz w:val="22"/>
          <w:szCs w:val="22"/>
        </w:rPr>
        <w:lastRenderedPageBreak/>
        <w:t>-приходи од новчаних казни за прекршаје, предвиђене прописима о безбедности</w:t>
      </w:r>
      <w:r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7164">
        <w:rPr>
          <w:rFonts w:ascii="Times New Roman" w:hAnsi="Times New Roman" w:cs="Times New Roman"/>
          <w:bCs/>
          <w:sz w:val="22"/>
          <w:szCs w:val="22"/>
        </w:rPr>
        <w:t>саобраћаја;</w:t>
      </w:r>
    </w:p>
    <w:p w:rsidR="00E65557" w:rsidRPr="00517164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  <w:r w:rsidRPr="00517164">
        <w:rPr>
          <w:rFonts w:ascii="Times New Roman" w:hAnsi="Times New Roman" w:cs="Times New Roman"/>
          <w:bCs/>
          <w:sz w:val="22"/>
          <w:szCs w:val="22"/>
        </w:rPr>
        <w:t>-средства која се остварују од давања у закуп пољопривредног земљишта</w:t>
      </w:r>
      <w:proofErr w:type="gramStart"/>
      <w:r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>, ...</w:t>
      </w:r>
      <w:proofErr w:type="gramEnd"/>
    </w:p>
    <w:p w:rsidR="00E65557" w:rsidRPr="00517164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17164">
        <w:rPr>
          <w:rFonts w:ascii="Times New Roman" w:hAnsi="Times New Roman" w:cs="Times New Roman"/>
          <w:bCs/>
          <w:sz w:val="22"/>
          <w:szCs w:val="22"/>
        </w:rPr>
        <w:t xml:space="preserve">Претходно наведено односи се на одељења </w:t>
      </w:r>
      <w:r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>Општин</w:t>
      </w:r>
      <w:r w:rsidRPr="00517164">
        <w:rPr>
          <w:rFonts w:ascii="Times New Roman" w:hAnsi="Times New Roman" w:cs="Times New Roman"/>
          <w:bCs/>
          <w:sz w:val="22"/>
          <w:szCs w:val="22"/>
        </w:rPr>
        <w:t>ске управе</w:t>
      </w:r>
      <w:r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и буџетске кориснике</w:t>
      </w:r>
      <w:r w:rsidRPr="00517164">
        <w:rPr>
          <w:rFonts w:ascii="Times New Roman" w:hAnsi="Times New Roman" w:cs="Times New Roman"/>
          <w:bCs/>
          <w:sz w:val="22"/>
          <w:szCs w:val="22"/>
        </w:rPr>
        <w:t xml:space="preserve"> у чијој су</w:t>
      </w:r>
      <w:r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7164">
        <w:rPr>
          <w:rFonts w:ascii="Times New Roman" w:hAnsi="Times New Roman" w:cs="Times New Roman"/>
          <w:bCs/>
          <w:sz w:val="22"/>
          <w:szCs w:val="22"/>
        </w:rPr>
        <w:t>надлежности распоред и коришћење средстава по посебним програмима коришћења</w:t>
      </w:r>
      <w:r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7164">
        <w:rPr>
          <w:rFonts w:ascii="Times New Roman" w:hAnsi="Times New Roman" w:cs="Times New Roman"/>
          <w:bCs/>
          <w:sz w:val="22"/>
          <w:szCs w:val="22"/>
        </w:rPr>
        <w:t>наменских средстава односно прихода који се остварују по посебним прописима, као и остали</w:t>
      </w:r>
      <w:r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7164">
        <w:rPr>
          <w:rFonts w:ascii="Times New Roman" w:hAnsi="Times New Roman" w:cs="Times New Roman"/>
          <w:bCs/>
          <w:sz w:val="22"/>
          <w:szCs w:val="22"/>
        </w:rPr>
        <w:t>буџетски корисници који остварују приходе по посебним законским прописима и исте</w:t>
      </w:r>
      <w:r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7164">
        <w:rPr>
          <w:rFonts w:ascii="Times New Roman" w:hAnsi="Times New Roman" w:cs="Times New Roman"/>
          <w:bCs/>
          <w:sz w:val="22"/>
          <w:szCs w:val="22"/>
        </w:rPr>
        <w:t>реализују по посебним програмима.</w:t>
      </w:r>
      <w:proofErr w:type="gramEnd"/>
    </w:p>
    <w:p w:rsidR="00E65557" w:rsidRPr="00517164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17164">
        <w:rPr>
          <w:rFonts w:ascii="Times New Roman" w:hAnsi="Times New Roman" w:cs="Times New Roman"/>
          <w:bCs/>
          <w:sz w:val="22"/>
          <w:szCs w:val="22"/>
        </w:rPr>
        <w:t>Приликом планирања буџета, сви буџетски корисници су дужни да се придржавају начела</w:t>
      </w:r>
      <w:r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7164">
        <w:rPr>
          <w:rFonts w:ascii="Times New Roman" w:hAnsi="Times New Roman" w:cs="Times New Roman"/>
          <w:bCs/>
          <w:sz w:val="22"/>
          <w:szCs w:val="22"/>
        </w:rPr>
        <w:t>рационалности и штедње.</w:t>
      </w:r>
      <w:proofErr w:type="gramEnd"/>
      <w:r w:rsidRPr="00517164">
        <w:rPr>
          <w:rFonts w:ascii="Times New Roman" w:hAnsi="Times New Roman" w:cs="Times New Roman"/>
          <w:bCs/>
          <w:sz w:val="22"/>
          <w:szCs w:val="22"/>
        </w:rPr>
        <w:t xml:space="preserve"> У оквиру ограничених средстава, буџетски корисници као приоритет</w:t>
      </w:r>
    </w:p>
    <w:p w:rsidR="00E65557" w:rsidRPr="00517164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17164">
        <w:rPr>
          <w:rFonts w:ascii="Times New Roman" w:hAnsi="Times New Roman" w:cs="Times New Roman"/>
          <w:bCs/>
          <w:sz w:val="22"/>
          <w:szCs w:val="22"/>
        </w:rPr>
        <w:t>треба</w:t>
      </w:r>
      <w:proofErr w:type="gramEnd"/>
      <w:r w:rsidRPr="00517164">
        <w:rPr>
          <w:rFonts w:ascii="Times New Roman" w:hAnsi="Times New Roman" w:cs="Times New Roman"/>
          <w:bCs/>
          <w:sz w:val="22"/>
          <w:szCs w:val="22"/>
        </w:rPr>
        <w:t xml:space="preserve"> да планирају законске и уговорене обавезе (плате, накнаде, закључене уговоре, преузете</w:t>
      </w:r>
    </w:p>
    <w:p w:rsidR="00E65557" w:rsidRPr="00517164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17164">
        <w:rPr>
          <w:rFonts w:ascii="Times New Roman" w:hAnsi="Times New Roman" w:cs="Times New Roman"/>
          <w:bCs/>
          <w:sz w:val="22"/>
          <w:szCs w:val="22"/>
        </w:rPr>
        <w:t>обавезе</w:t>
      </w:r>
      <w:proofErr w:type="gramEnd"/>
      <w:r w:rsidRPr="00517164">
        <w:rPr>
          <w:rFonts w:ascii="Times New Roman" w:hAnsi="Times New Roman" w:cs="Times New Roman"/>
          <w:bCs/>
          <w:sz w:val="22"/>
          <w:szCs w:val="22"/>
        </w:rPr>
        <w:t xml:space="preserve"> и сл.). Нарочито скрећемо пажњу да је због реалног, истинитог и суштински исправног</w:t>
      </w:r>
    </w:p>
    <w:p w:rsidR="00E65557" w:rsidRPr="00517164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17164">
        <w:rPr>
          <w:rFonts w:ascii="Times New Roman" w:hAnsi="Times New Roman" w:cs="Times New Roman"/>
          <w:bCs/>
          <w:sz w:val="22"/>
          <w:szCs w:val="22"/>
        </w:rPr>
        <w:t>планирања</w:t>
      </w:r>
      <w:proofErr w:type="gramEnd"/>
      <w:r w:rsidRPr="00517164">
        <w:rPr>
          <w:rFonts w:ascii="Times New Roman" w:hAnsi="Times New Roman" w:cs="Times New Roman"/>
          <w:bCs/>
          <w:sz w:val="22"/>
          <w:szCs w:val="22"/>
        </w:rPr>
        <w:t xml:space="preserve"> активности свих корисника буџета </w:t>
      </w:r>
      <w:r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>Општине Владичин Хан</w:t>
      </w:r>
      <w:r w:rsidRPr="00517164">
        <w:rPr>
          <w:rFonts w:ascii="Times New Roman" w:hAnsi="Times New Roman" w:cs="Times New Roman"/>
          <w:bCs/>
          <w:sz w:val="22"/>
          <w:szCs w:val="22"/>
        </w:rPr>
        <w:t xml:space="preserve"> потребно да се у буџетском</w:t>
      </w:r>
    </w:p>
    <w:p w:rsidR="00E65557" w:rsidRPr="00517164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17164">
        <w:rPr>
          <w:rFonts w:ascii="Times New Roman" w:hAnsi="Times New Roman" w:cs="Times New Roman"/>
          <w:bCs/>
          <w:sz w:val="22"/>
          <w:szCs w:val="22"/>
        </w:rPr>
        <w:t>захтеву</w:t>
      </w:r>
      <w:proofErr w:type="gramEnd"/>
      <w:r w:rsidRPr="00517164">
        <w:rPr>
          <w:rFonts w:ascii="Times New Roman" w:hAnsi="Times New Roman" w:cs="Times New Roman"/>
          <w:bCs/>
          <w:sz w:val="22"/>
          <w:szCs w:val="22"/>
        </w:rPr>
        <w:t xml:space="preserve"> ставке расхода детаљно писмено образложе, како би буџет </w:t>
      </w:r>
      <w:r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>Општине</w:t>
      </w:r>
      <w:r w:rsidRPr="00517164">
        <w:rPr>
          <w:rFonts w:ascii="Times New Roman" w:hAnsi="Times New Roman" w:cs="Times New Roman"/>
          <w:bCs/>
          <w:sz w:val="22"/>
          <w:szCs w:val="22"/>
        </w:rPr>
        <w:t xml:space="preserve"> за 201</w:t>
      </w:r>
      <w:r w:rsidR="00556AC2"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517164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gramStart"/>
      <w:r w:rsidRPr="00517164">
        <w:rPr>
          <w:rFonts w:ascii="Times New Roman" w:hAnsi="Times New Roman" w:cs="Times New Roman"/>
          <w:bCs/>
          <w:sz w:val="22"/>
          <w:szCs w:val="22"/>
        </w:rPr>
        <w:t>и</w:t>
      </w:r>
      <w:proofErr w:type="gramEnd"/>
      <w:r w:rsidRPr="00517164">
        <w:rPr>
          <w:rFonts w:ascii="Times New Roman" w:hAnsi="Times New Roman" w:cs="Times New Roman"/>
          <w:bCs/>
          <w:sz w:val="22"/>
          <w:szCs w:val="22"/>
        </w:rPr>
        <w:t xml:space="preserve"> наредне</w:t>
      </w:r>
    </w:p>
    <w:p w:rsidR="00E65557" w:rsidRPr="00517164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17164">
        <w:rPr>
          <w:rFonts w:ascii="Times New Roman" w:hAnsi="Times New Roman" w:cs="Times New Roman"/>
          <w:bCs/>
          <w:sz w:val="22"/>
          <w:szCs w:val="22"/>
        </w:rPr>
        <w:t>две</w:t>
      </w:r>
      <w:proofErr w:type="gramEnd"/>
      <w:r w:rsidRPr="00517164">
        <w:rPr>
          <w:rFonts w:ascii="Times New Roman" w:hAnsi="Times New Roman" w:cs="Times New Roman"/>
          <w:bCs/>
          <w:sz w:val="22"/>
          <w:szCs w:val="22"/>
        </w:rPr>
        <w:t xml:space="preserve"> године био усклађен са „Правилником о стандардном класификационом оквиру и Контном</w:t>
      </w:r>
    </w:p>
    <w:p w:rsidR="00E65557" w:rsidRPr="00517164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17164">
        <w:rPr>
          <w:rFonts w:ascii="Times New Roman" w:hAnsi="Times New Roman" w:cs="Times New Roman"/>
          <w:bCs/>
          <w:sz w:val="22"/>
          <w:szCs w:val="22"/>
        </w:rPr>
        <w:t>плану</w:t>
      </w:r>
      <w:proofErr w:type="gramEnd"/>
      <w:r w:rsidRPr="00517164">
        <w:rPr>
          <w:rFonts w:ascii="Times New Roman" w:hAnsi="Times New Roman" w:cs="Times New Roman"/>
          <w:bCs/>
          <w:sz w:val="22"/>
          <w:szCs w:val="22"/>
        </w:rPr>
        <w:t xml:space="preserve"> за буџетски систем ("Сл. гласник Републике Србије", бр. 103/11, 10/12, 18/12, 95/12,</w:t>
      </w:r>
      <w:r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7164">
        <w:rPr>
          <w:rFonts w:ascii="Times New Roman" w:hAnsi="Times New Roman" w:cs="Times New Roman"/>
          <w:bCs/>
          <w:sz w:val="22"/>
          <w:szCs w:val="22"/>
        </w:rPr>
        <w:t>99/12, 22/13, 48/13, 61/13 и 63/13-исправка, 106/13, 120/13, 20/14 и 64/14).</w:t>
      </w:r>
    </w:p>
    <w:p w:rsidR="00E65557" w:rsidRPr="00517164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  <w:proofErr w:type="gramStart"/>
      <w:r w:rsidRPr="00517164">
        <w:rPr>
          <w:rFonts w:ascii="Times New Roman" w:hAnsi="Times New Roman" w:cs="Times New Roman"/>
          <w:bCs/>
          <w:sz w:val="22"/>
          <w:szCs w:val="22"/>
        </w:rPr>
        <w:t>Сви буџетски корисници, дужни су да доставе захтеве за буџетским средствима за 201</w:t>
      </w:r>
      <w:r w:rsidR="00556AC2"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>6</w:t>
      </w:r>
      <w:r w:rsidRPr="00517164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proofErr w:type="gramStart"/>
      <w:r w:rsidRPr="00517164">
        <w:rPr>
          <w:rFonts w:ascii="Times New Roman" w:hAnsi="Times New Roman" w:cs="Times New Roman"/>
          <w:bCs/>
          <w:sz w:val="22"/>
          <w:szCs w:val="22"/>
        </w:rPr>
        <w:t>и</w:t>
      </w:r>
      <w:proofErr w:type="gramEnd"/>
      <w:r w:rsidRPr="00517164">
        <w:rPr>
          <w:rFonts w:ascii="Times New Roman" w:hAnsi="Times New Roman" w:cs="Times New Roman"/>
          <w:bCs/>
          <w:sz w:val="22"/>
          <w:szCs w:val="22"/>
        </w:rPr>
        <w:t xml:space="preserve"> наредне две године годину на начин предвиђен овим Упутством. За непоштовање буџетских</w:t>
      </w:r>
      <w:r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7164">
        <w:rPr>
          <w:rFonts w:ascii="Times New Roman" w:hAnsi="Times New Roman" w:cs="Times New Roman"/>
          <w:bCs/>
          <w:sz w:val="22"/>
          <w:szCs w:val="22"/>
        </w:rPr>
        <w:t>ограничења и садржаја буџетског захтева, као и рокова за израду и достављање захтева,</w:t>
      </w:r>
      <w:r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517164">
        <w:rPr>
          <w:rFonts w:ascii="Times New Roman" w:hAnsi="Times New Roman" w:cs="Times New Roman"/>
          <w:bCs/>
          <w:sz w:val="22"/>
          <w:szCs w:val="22"/>
        </w:rPr>
        <w:t xml:space="preserve">предвиђене су санкције у складу са чланом 103. </w:t>
      </w:r>
      <w:proofErr w:type="gramStart"/>
      <w:r w:rsidRPr="00517164">
        <w:rPr>
          <w:rFonts w:ascii="Times New Roman" w:hAnsi="Times New Roman" w:cs="Times New Roman"/>
          <w:bCs/>
          <w:sz w:val="22"/>
          <w:szCs w:val="22"/>
        </w:rPr>
        <w:t>Закона о буџетском систему.</w:t>
      </w:r>
      <w:proofErr w:type="gramEnd"/>
    </w:p>
    <w:p w:rsidR="00E65557" w:rsidRPr="00517164" w:rsidRDefault="00E65557" w:rsidP="00E6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  <w:r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Обзиром на кашњење у давању конкретних инструкција за израду буџета локалних власти од стране нивоа државе, рок  за доставу захтева – финансијских планова </w:t>
      </w:r>
      <w:r w:rsidRPr="00517164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помера се до </w:t>
      </w:r>
      <w:r w:rsidR="00517164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2</w:t>
      </w:r>
      <w:r w:rsidRPr="00517164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0.1</w:t>
      </w:r>
      <w:r w:rsidR="00556AC2" w:rsidRPr="00517164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0</w:t>
      </w:r>
      <w:r w:rsidRPr="00517164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.201</w:t>
      </w:r>
      <w:r w:rsidR="00556AC2" w:rsidRPr="00517164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5</w:t>
      </w:r>
      <w:r w:rsidRPr="00517164">
        <w:rPr>
          <w:rFonts w:ascii="Times New Roman" w:hAnsi="Times New Roman" w:cs="Times New Roman"/>
          <w:bCs/>
          <w:sz w:val="22"/>
          <w:szCs w:val="22"/>
          <w:lang w:val="sr-Cyrl-CS"/>
        </w:rPr>
        <w:t>.</w:t>
      </w:r>
    </w:p>
    <w:p w:rsidR="00E65557" w:rsidRDefault="00E65557" w:rsidP="00E65557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C715E2" w:rsidRPr="00517164" w:rsidRDefault="00C715E2" w:rsidP="00E65557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E65557" w:rsidRPr="00517164" w:rsidRDefault="00E65557" w:rsidP="00E65557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  <w:r w:rsidRPr="00517164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Руководилац Одељења за финансије и привреду Општинске управе Владичин Хан</w:t>
      </w:r>
    </w:p>
    <w:p w:rsidR="00E65557" w:rsidRPr="00350F59" w:rsidRDefault="00E65557" w:rsidP="00E65557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517164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Бранка Милосављевић</w:t>
      </w:r>
    </w:p>
    <w:sectPr w:rsidR="00E65557" w:rsidRPr="00350F59" w:rsidSect="005E7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9F3"/>
    <w:multiLevelType w:val="hybridMultilevel"/>
    <w:tmpl w:val="44561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21CE0"/>
    <w:multiLevelType w:val="hybridMultilevel"/>
    <w:tmpl w:val="6A0E157E"/>
    <w:lvl w:ilvl="0" w:tplc="32D204D2">
      <w:numFmt w:val="bullet"/>
      <w:lvlText w:val="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564B0"/>
    <w:multiLevelType w:val="hybridMultilevel"/>
    <w:tmpl w:val="09AC6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2408D"/>
    <w:multiLevelType w:val="hybridMultilevel"/>
    <w:tmpl w:val="47A4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85D41"/>
    <w:multiLevelType w:val="hybridMultilevel"/>
    <w:tmpl w:val="C4D0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50CEC"/>
    <w:multiLevelType w:val="hybridMultilevel"/>
    <w:tmpl w:val="D166F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965D9"/>
    <w:multiLevelType w:val="hybridMultilevel"/>
    <w:tmpl w:val="03D4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6362C"/>
    <w:multiLevelType w:val="hybridMultilevel"/>
    <w:tmpl w:val="4C8AC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143E9"/>
    <w:multiLevelType w:val="hybridMultilevel"/>
    <w:tmpl w:val="6D5284EE"/>
    <w:lvl w:ilvl="0" w:tplc="7A22D01C">
      <w:numFmt w:val="bullet"/>
      <w:lvlText w:val="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grammar="clean"/>
  <w:defaultTabStop w:val="720"/>
  <w:characterSpacingControl w:val="doNotCompress"/>
  <w:compat/>
  <w:rsids>
    <w:rsidRoot w:val="00E65557"/>
    <w:rsid w:val="00002B9D"/>
    <w:rsid w:val="00056E53"/>
    <w:rsid w:val="000A4F0B"/>
    <w:rsid w:val="000D6D98"/>
    <w:rsid w:val="000E6E6D"/>
    <w:rsid w:val="0012635E"/>
    <w:rsid w:val="001320F7"/>
    <w:rsid w:val="00154BFA"/>
    <w:rsid w:val="001C05C8"/>
    <w:rsid w:val="001E0487"/>
    <w:rsid w:val="0022615D"/>
    <w:rsid w:val="002702E5"/>
    <w:rsid w:val="002747F6"/>
    <w:rsid w:val="002A63FA"/>
    <w:rsid w:val="002C12F3"/>
    <w:rsid w:val="00327014"/>
    <w:rsid w:val="003727E5"/>
    <w:rsid w:val="0038207A"/>
    <w:rsid w:val="00384A2E"/>
    <w:rsid w:val="003B3D64"/>
    <w:rsid w:val="003F624D"/>
    <w:rsid w:val="003F7329"/>
    <w:rsid w:val="0040293B"/>
    <w:rsid w:val="0041043B"/>
    <w:rsid w:val="004347DB"/>
    <w:rsid w:val="00475384"/>
    <w:rsid w:val="00505864"/>
    <w:rsid w:val="00517164"/>
    <w:rsid w:val="00524ED3"/>
    <w:rsid w:val="00531768"/>
    <w:rsid w:val="00537614"/>
    <w:rsid w:val="00540D8A"/>
    <w:rsid w:val="00545F50"/>
    <w:rsid w:val="005560D9"/>
    <w:rsid w:val="00556AC2"/>
    <w:rsid w:val="00562405"/>
    <w:rsid w:val="00573C78"/>
    <w:rsid w:val="005860E9"/>
    <w:rsid w:val="005A0FAC"/>
    <w:rsid w:val="005C287F"/>
    <w:rsid w:val="005E1316"/>
    <w:rsid w:val="005E7B40"/>
    <w:rsid w:val="005F3C39"/>
    <w:rsid w:val="00600B09"/>
    <w:rsid w:val="006034DE"/>
    <w:rsid w:val="0061149A"/>
    <w:rsid w:val="00611558"/>
    <w:rsid w:val="00612250"/>
    <w:rsid w:val="006262F3"/>
    <w:rsid w:val="00635854"/>
    <w:rsid w:val="0064060D"/>
    <w:rsid w:val="00672113"/>
    <w:rsid w:val="00692DB5"/>
    <w:rsid w:val="00697F9F"/>
    <w:rsid w:val="006A15CA"/>
    <w:rsid w:val="007538DF"/>
    <w:rsid w:val="00785F19"/>
    <w:rsid w:val="007D35FE"/>
    <w:rsid w:val="007D382A"/>
    <w:rsid w:val="007D3EED"/>
    <w:rsid w:val="007F4867"/>
    <w:rsid w:val="008113BD"/>
    <w:rsid w:val="00817D06"/>
    <w:rsid w:val="008372E9"/>
    <w:rsid w:val="00857866"/>
    <w:rsid w:val="008714F2"/>
    <w:rsid w:val="008A7929"/>
    <w:rsid w:val="008B532D"/>
    <w:rsid w:val="008C1EDF"/>
    <w:rsid w:val="009A3875"/>
    <w:rsid w:val="00A013B2"/>
    <w:rsid w:val="00A413E2"/>
    <w:rsid w:val="00AC3C26"/>
    <w:rsid w:val="00B13E16"/>
    <w:rsid w:val="00B64674"/>
    <w:rsid w:val="00B72901"/>
    <w:rsid w:val="00B8793B"/>
    <w:rsid w:val="00BA3572"/>
    <w:rsid w:val="00BF67D9"/>
    <w:rsid w:val="00BF6E0C"/>
    <w:rsid w:val="00C1775B"/>
    <w:rsid w:val="00C21CD4"/>
    <w:rsid w:val="00C23DF8"/>
    <w:rsid w:val="00C44066"/>
    <w:rsid w:val="00C7154D"/>
    <w:rsid w:val="00C715E2"/>
    <w:rsid w:val="00C72D5F"/>
    <w:rsid w:val="00CB0337"/>
    <w:rsid w:val="00CB59E8"/>
    <w:rsid w:val="00CC2BF7"/>
    <w:rsid w:val="00D37E10"/>
    <w:rsid w:val="00D40D51"/>
    <w:rsid w:val="00D46555"/>
    <w:rsid w:val="00DC4430"/>
    <w:rsid w:val="00DD7779"/>
    <w:rsid w:val="00E063EB"/>
    <w:rsid w:val="00E21F89"/>
    <w:rsid w:val="00E2580B"/>
    <w:rsid w:val="00E44C5B"/>
    <w:rsid w:val="00E511A6"/>
    <w:rsid w:val="00E60588"/>
    <w:rsid w:val="00E63803"/>
    <w:rsid w:val="00E65557"/>
    <w:rsid w:val="00E72E57"/>
    <w:rsid w:val="00E9463D"/>
    <w:rsid w:val="00EE7D3A"/>
    <w:rsid w:val="00F371EC"/>
    <w:rsid w:val="00F66335"/>
    <w:rsid w:val="00F727CA"/>
    <w:rsid w:val="00F75BC8"/>
    <w:rsid w:val="00FF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557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557"/>
    <w:pPr>
      <w:ind w:left="720"/>
      <w:contextualSpacing/>
    </w:pPr>
  </w:style>
  <w:style w:type="table" w:styleId="TableGrid">
    <w:name w:val="Table Grid"/>
    <w:basedOn w:val="TableNormal"/>
    <w:uiPriority w:val="59"/>
    <w:rsid w:val="00E65557"/>
    <w:pPr>
      <w:spacing w:after="0" w:line="240" w:lineRule="auto"/>
    </w:pPr>
    <w:rPr>
      <w:rFonts w:ascii="Arial" w:hAnsi="Arial" w:cs="Arial"/>
      <w:sz w:val="18"/>
      <w:szCs w:val="1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5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1ED32-C684-447A-8540-F257B59F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17</Pages>
  <Words>7288</Words>
  <Characters>41545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cp:keywords/>
  <dc:description/>
  <cp:lastModifiedBy>Branka</cp:lastModifiedBy>
  <cp:revision>76</cp:revision>
  <cp:lastPrinted>2015-10-12T06:09:00Z</cp:lastPrinted>
  <dcterms:created xsi:type="dcterms:W3CDTF">2015-08-20T12:10:00Z</dcterms:created>
  <dcterms:modified xsi:type="dcterms:W3CDTF">2015-10-15T09:58:00Z</dcterms:modified>
</cp:coreProperties>
</file>